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9EF" w:rsidRDefault="007B7991">
      <w:pPr>
        <w:pStyle w:val="BodyText"/>
        <w:rPr>
          <w:rFonts w:ascii="Times New Roman"/>
        </w:rPr>
      </w:pPr>
      <w:bookmarkStart w:id="0" w:name="_GoBack"/>
      <w:bookmarkEnd w:id="0"/>
      <w:r>
        <w:pict>
          <v:group id="_x0000_s1075" style="position:absolute;margin-left:0;margin-top:0;width:612pt;height:230.8pt;z-index:1096;mso-position-horizontal-relative:page;mso-position-vertical-relative:page" coordsize="12240,4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width:12240;height:4616">
              <v:imagedata r:id="rId7" o:title=""/>
            </v:shape>
            <v:rect id="_x0000_s1080" style="position:absolute;width:12240;height:4616" fillcolor="#8dbfd0" stroked="f">
              <v:fill opacity="45875f"/>
            </v:rect>
            <v:rect id="_x0000_s1079" style="position:absolute;top:3134;width:3903;height:1482" fillcolor="#8dbfd0" stroked="f"/>
            <v:shapetype id="_x0000_t202" coordsize="21600,21600" o:spt="202" path="m,l,21600r21600,l21600,xe">
              <v:stroke joinstyle="miter"/>
              <v:path gradientshapeok="t" o:connecttype="rect"/>
            </v:shapetype>
            <v:shape id="_x0000_s1078" type="#_x0000_t202" style="position:absolute;left:1054;top:3694;width:1760;height:314" filled="f" stroked="f">
              <v:textbox inset="0,0,0,0">
                <w:txbxContent>
                  <w:p w:rsidR="009740A5" w:rsidRDefault="009740A5">
                    <w:pPr>
                      <w:spacing w:line="314" w:lineRule="exact"/>
                      <w:rPr>
                        <w:sz w:val="28"/>
                      </w:rPr>
                    </w:pPr>
                    <w:r>
                      <w:rPr>
                        <w:color w:val="FFFFFF"/>
                        <w:spacing w:val="-4"/>
                        <w:sz w:val="28"/>
                      </w:rPr>
                      <w:t xml:space="preserve">October </w:t>
                    </w:r>
                    <w:r>
                      <w:rPr>
                        <w:color w:val="FFFFFF"/>
                        <w:spacing w:val="-3"/>
                        <w:sz w:val="28"/>
                      </w:rPr>
                      <w:t>2019</w:t>
                    </w:r>
                  </w:p>
                </w:txbxContent>
              </v:textbox>
            </v:shape>
            <v:shape id="_x0000_s1077" type="#_x0000_t202" style="position:absolute;left:3902;top:3134;width:8338;height:1482" fillcolor="#fada51" stroked="f">
              <v:textbox inset="0,0,0,0">
                <w:txbxContent>
                  <w:p w:rsidR="009740A5" w:rsidRDefault="009740A5">
                    <w:pPr>
                      <w:spacing w:before="7"/>
                      <w:rPr>
                        <w:sz w:val="28"/>
                      </w:rPr>
                    </w:pPr>
                  </w:p>
                  <w:p w:rsidR="009740A5" w:rsidRDefault="009740A5">
                    <w:pPr>
                      <w:spacing w:line="324" w:lineRule="auto"/>
                      <w:ind w:left="422" w:right="970"/>
                      <w:rPr>
                        <w:rFonts w:ascii="Ubuntu"/>
                        <w:i/>
                        <w:sz w:val="18"/>
                      </w:rPr>
                    </w:pPr>
                    <w:r>
                      <w:rPr>
                        <w:rFonts w:ascii="Ubuntu"/>
                        <w:i/>
                        <w:color w:val="414042"/>
                        <w:sz w:val="18"/>
                      </w:rPr>
                      <w:t>Prepared by staff from the National Wraparound Initiative, Portland State University; the National Wraparound Implementation Center, University of Maryland; and Wraparound Evaluation and Research Team, University of Washington.</w:t>
                    </w:r>
                  </w:p>
                </w:txbxContent>
              </v:textbox>
            </v:shape>
            <v:shape id="_x0000_s1076" type="#_x0000_t202" style="position:absolute;width:12240;height:3134" fillcolor="#8dbfd0" stroked="f">
              <v:fill opacity="45875f"/>
              <v:textbox inset="0,0,0,0">
                <w:txbxContent>
                  <w:p w:rsidR="009740A5" w:rsidRDefault="009740A5">
                    <w:pPr>
                      <w:spacing w:before="5"/>
                      <w:rPr>
                        <w:sz w:val="62"/>
                      </w:rPr>
                    </w:pPr>
                  </w:p>
                  <w:p w:rsidR="009740A5" w:rsidRDefault="009740A5">
                    <w:pPr>
                      <w:spacing w:line="261" w:lineRule="auto"/>
                      <w:ind w:left="1106" w:right="4277"/>
                      <w:jc w:val="both"/>
                      <w:rPr>
                        <w:rFonts w:ascii="Ubuntu"/>
                        <w:b/>
                        <w:sz w:val="48"/>
                      </w:rPr>
                    </w:pPr>
                    <w:r>
                      <w:rPr>
                        <w:rFonts w:ascii="Ubuntu"/>
                        <w:b/>
                        <w:color w:val="3E6A80"/>
                        <w:sz w:val="48"/>
                      </w:rPr>
                      <w:t>NOMINATING WRAPAROUND FOR THE FFPSA PREVENTION SERVICES CLEARINGHOUSE</w:t>
                    </w:r>
                  </w:p>
                </w:txbxContent>
              </v:textbox>
            </v:shape>
            <w10:wrap anchorx="page" anchory="page"/>
          </v:group>
        </w:pict>
      </w: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rPr>
          <w:rFonts w:ascii="Times New Roman"/>
        </w:rPr>
      </w:pPr>
    </w:p>
    <w:p w:rsidR="007E59EF" w:rsidRDefault="007E59EF">
      <w:pPr>
        <w:pStyle w:val="BodyText"/>
        <w:spacing w:before="2"/>
        <w:rPr>
          <w:rFonts w:ascii="Times New Roman"/>
          <w:sz w:val="25"/>
        </w:rPr>
      </w:pPr>
    </w:p>
    <w:p w:rsidR="007E59EF" w:rsidRDefault="009740A5">
      <w:pPr>
        <w:pStyle w:val="BodyText"/>
        <w:spacing w:before="95" w:line="314" w:lineRule="auto"/>
        <w:ind w:left="1068" w:right="1034"/>
      </w:pPr>
      <w:r>
        <w:rPr>
          <w:color w:val="414042"/>
        </w:rPr>
        <w:t>The</w:t>
      </w:r>
      <w:r>
        <w:rPr>
          <w:color w:val="414042"/>
          <w:spacing w:val="-9"/>
        </w:rPr>
        <w:t xml:space="preserve"> </w:t>
      </w:r>
      <w:r>
        <w:rPr>
          <w:color w:val="414042"/>
        </w:rPr>
        <w:t>National</w:t>
      </w:r>
      <w:r>
        <w:rPr>
          <w:color w:val="414042"/>
          <w:spacing w:val="-9"/>
        </w:rPr>
        <w:t xml:space="preserve"> </w:t>
      </w:r>
      <w:r>
        <w:rPr>
          <w:color w:val="414042"/>
        </w:rPr>
        <w:t>Wraparound</w:t>
      </w:r>
      <w:r>
        <w:rPr>
          <w:color w:val="414042"/>
          <w:spacing w:val="-9"/>
        </w:rPr>
        <w:t xml:space="preserve"> </w:t>
      </w:r>
      <w:r>
        <w:rPr>
          <w:color w:val="414042"/>
        </w:rPr>
        <w:t>Initiative,</w:t>
      </w:r>
      <w:r>
        <w:rPr>
          <w:color w:val="414042"/>
          <w:spacing w:val="-9"/>
        </w:rPr>
        <w:t xml:space="preserve"> </w:t>
      </w:r>
      <w:r>
        <w:rPr>
          <w:color w:val="414042"/>
        </w:rPr>
        <w:t>in</w:t>
      </w:r>
      <w:r>
        <w:rPr>
          <w:color w:val="414042"/>
          <w:spacing w:val="-9"/>
        </w:rPr>
        <w:t xml:space="preserve"> </w:t>
      </w:r>
      <w:r>
        <w:rPr>
          <w:color w:val="414042"/>
        </w:rPr>
        <w:t>collaboration</w:t>
      </w:r>
      <w:r>
        <w:rPr>
          <w:color w:val="414042"/>
          <w:spacing w:val="-9"/>
        </w:rPr>
        <w:t xml:space="preserve"> </w:t>
      </w:r>
      <w:r>
        <w:rPr>
          <w:color w:val="414042"/>
        </w:rPr>
        <w:t>with</w:t>
      </w:r>
      <w:r>
        <w:rPr>
          <w:color w:val="414042"/>
          <w:spacing w:val="-9"/>
        </w:rPr>
        <w:t xml:space="preserve"> </w:t>
      </w:r>
      <w:r>
        <w:rPr>
          <w:color w:val="414042"/>
        </w:rPr>
        <w:t>the</w:t>
      </w:r>
      <w:r>
        <w:rPr>
          <w:color w:val="414042"/>
          <w:spacing w:val="-9"/>
        </w:rPr>
        <w:t xml:space="preserve"> </w:t>
      </w:r>
      <w:r>
        <w:rPr>
          <w:color w:val="414042"/>
        </w:rPr>
        <w:t>National</w:t>
      </w:r>
      <w:r>
        <w:rPr>
          <w:color w:val="414042"/>
          <w:spacing w:val="-9"/>
        </w:rPr>
        <w:t xml:space="preserve"> </w:t>
      </w:r>
      <w:r>
        <w:rPr>
          <w:color w:val="414042"/>
        </w:rPr>
        <w:t>Wraparound</w:t>
      </w:r>
      <w:r>
        <w:rPr>
          <w:color w:val="414042"/>
          <w:spacing w:val="-9"/>
        </w:rPr>
        <w:t xml:space="preserve"> </w:t>
      </w:r>
      <w:r>
        <w:rPr>
          <w:color w:val="414042"/>
        </w:rPr>
        <w:t>Implementation</w:t>
      </w:r>
      <w:r>
        <w:rPr>
          <w:color w:val="414042"/>
          <w:spacing w:val="-9"/>
        </w:rPr>
        <w:t xml:space="preserve"> </w:t>
      </w:r>
      <w:r>
        <w:rPr>
          <w:color w:val="414042"/>
        </w:rPr>
        <w:t>Center</w:t>
      </w:r>
      <w:r>
        <w:rPr>
          <w:color w:val="414042"/>
          <w:spacing w:val="-9"/>
        </w:rPr>
        <w:t xml:space="preserve"> </w:t>
      </w:r>
      <w:r>
        <w:rPr>
          <w:color w:val="414042"/>
        </w:rPr>
        <w:t>and</w:t>
      </w:r>
      <w:r>
        <w:rPr>
          <w:color w:val="414042"/>
          <w:spacing w:val="-9"/>
        </w:rPr>
        <w:t xml:space="preserve"> </w:t>
      </w:r>
      <w:r>
        <w:rPr>
          <w:color w:val="414042"/>
        </w:rPr>
        <w:t>the Wraparound</w:t>
      </w:r>
      <w:r>
        <w:rPr>
          <w:color w:val="414042"/>
          <w:spacing w:val="-8"/>
        </w:rPr>
        <w:t xml:space="preserve"> </w:t>
      </w:r>
      <w:r>
        <w:rPr>
          <w:color w:val="414042"/>
        </w:rPr>
        <w:t>Evaluation</w:t>
      </w:r>
      <w:r>
        <w:rPr>
          <w:color w:val="414042"/>
          <w:spacing w:val="-8"/>
        </w:rPr>
        <w:t xml:space="preserve"> </w:t>
      </w:r>
      <w:r>
        <w:rPr>
          <w:color w:val="414042"/>
        </w:rPr>
        <w:t>and</w:t>
      </w:r>
      <w:r>
        <w:rPr>
          <w:color w:val="414042"/>
          <w:spacing w:val="-8"/>
        </w:rPr>
        <w:t xml:space="preserve"> </w:t>
      </w:r>
      <w:r>
        <w:rPr>
          <w:color w:val="414042"/>
        </w:rPr>
        <w:t>Research</w:t>
      </w:r>
      <w:r>
        <w:rPr>
          <w:color w:val="414042"/>
          <w:spacing w:val="-8"/>
        </w:rPr>
        <w:t xml:space="preserve"> </w:t>
      </w:r>
      <w:r>
        <w:rPr>
          <w:color w:val="414042"/>
          <w:spacing w:val="-3"/>
        </w:rPr>
        <w:t>Team,</w:t>
      </w:r>
      <w:r>
        <w:rPr>
          <w:color w:val="414042"/>
          <w:spacing w:val="-8"/>
        </w:rPr>
        <w:t xml:space="preserve"> </w:t>
      </w:r>
      <w:r>
        <w:rPr>
          <w:color w:val="414042"/>
        </w:rPr>
        <w:t>has</w:t>
      </w:r>
      <w:r>
        <w:rPr>
          <w:color w:val="414042"/>
          <w:spacing w:val="-8"/>
        </w:rPr>
        <w:t xml:space="preserve"> </w:t>
      </w:r>
      <w:r>
        <w:rPr>
          <w:color w:val="414042"/>
        </w:rPr>
        <w:t>developed</w:t>
      </w:r>
      <w:r>
        <w:rPr>
          <w:color w:val="414042"/>
          <w:spacing w:val="-8"/>
        </w:rPr>
        <w:t xml:space="preserve"> </w:t>
      </w:r>
      <w:r>
        <w:rPr>
          <w:color w:val="414042"/>
        </w:rPr>
        <w:t>this</w:t>
      </w:r>
      <w:r>
        <w:rPr>
          <w:color w:val="414042"/>
          <w:spacing w:val="-8"/>
        </w:rPr>
        <w:t xml:space="preserve"> </w:t>
      </w:r>
      <w:r>
        <w:rPr>
          <w:color w:val="414042"/>
        </w:rPr>
        <w:t>document</w:t>
      </w:r>
      <w:r>
        <w:rPr>
          <w:color w:val="414042"/>
          <w:spacing w:val="-8"/>
        </w:rPr>
        <w:t xml:space="preserve"> </w:t>
      </w:r>
      <w:r>
        <w:rPr>
          <w:color w:val="414042"/>
        </w:rPr>
        <w:t>and</w:t>
      </w:r>
      <w:r>
        <w:rPr>
          <w:color w:val="414042"/>
          <w:spacing w:val="-8"/>
        </w:rPr>
        <w:t xml:space="preserve"> </w:t>
      </w:r>
      <w:r>
        <w:rPr>
          <w:color w:val="414042"/>
        </w:rPr>
        <w:t>supporting</w:t>
      </w:r>
      <w:r>
        <w:rPr>
          <w:color w:val="414042"/>
          <w:spacing w:val="-8"/>
        </w:rPr>
        <w:t xml:space="preserve"> </w:t>
      </w:r>
      <w:r>
        <w:rPr>
          <w:color w:val="414042"/>
        </w:rPr>
        <w:t>materials</w:t>
      </w:r>
      <w:r>
        <w:rPr>
          <w:color w:val="414042"/>
          <w:spacing w:val="-8"/>
        </w:rPr>
        <w:t xml:space="preserve"> </w:t>
      </w:r>
      <w:r>
        <w:rPr>
          <w:color w:val="414042"/>
        </w:rPr>
        <w:t>to</w:t>
      </w:r>
      <w:r>
        <w:rPr>
          <w:color w:val="414042"/>
          <w:spacing w:val="-8"/>
        </w:rPr>
        <w:t xml:space="preserve"> </w:t>
      </w:r>
      <w:r>
        <w:rPr>
          <w:color w:val="414042"/>
        </w:rPr>
        <w:t>assist</w:t>
      </w:r>
      <w:r>
        <w:rPr>
          <w:color w:val="414042"/>
          <w:spacing w:val="-8"/>
        </w:rPr>
        <w:t xml:space="preserve"> </w:t>
      </w:r>
      <w:r>
        <w:rPr>
          <w:color w:val="414042"/>
        </w:rPr>
        <w:t>states, other</w:t>
      </w:r>
      <w:r>
        <w:rPr>
          <w:color w:val="414042"/>
          <w:spacing w:val="-8"/>
        </w:rPr>
        <w:t xml:space="preserve"> </w:t>
      </w:r>
      <w:r>
        <w:rPr>
          <w:color w:val="414042"/>
        </w:rPr>
        <w:t>entities,</w:t>
      </w:r>
      <w:r>
        <w:rPr>
          <w:color w:val="414042"/>
          <w:spacing w:val="-8"/>
        </w:rPr>
        <w:t xml:space="preserve"> </w:t>
      </w:r>
      <w:r>
        <w:rPr>
          <w:color w:val="414042"/>
        </w:rPr>
        <w:t>and</w:t>
      </w:r>
      <w:r>
        <w:rPr>
          <w:color w:val="414042"/>
          <w:spacing w:val="-8"/>
        </w:rPr>
        <w:t xml:space="preserve"> </w:t>
      </w:r>
      <w:r>
        <w:rPr>
          <w:color w:val="414042"/>
        </w:rPr>
        <w:t>individuals</w:t>
      </w:r>
      <w:r>
        <w:rPr>
          <w:color w:val="414042"/>
          <w:spacing w:val="-8"/>
        </w:rPr>
        <w:t xml:space="preserve"> </w:t>
      </w:r>
      <w:r>
        <w:rPr>
          <w:color w:val="414042"/>
        </w:rPr>
        <w:t>who</w:t>
      </w:r>
      <w:r>
        <w:rPr>
          <w:color w:val="414042"/>
          <w:spacing w:val="-8"/>
        </w:rPr>
        <w:t xml:space="preserve"> </w:t>
      </w:r>
      <w:r>
        <w:rPr>
          <w:color w:val="414042"/>
        </w:rPr>
        <w:t>are</w:t>
      </w:r>
      <w:r>
        <w:rPr>
          <w:color w:val="414042"/>
          <w:spacing w:val="-8"/>
        </w:rPr>
        <w:t xml:space="preserve"> </w:t>
      </w:r>
      <w:r>
        <w:rPr>
          <w:color w:val="414042"/>
        </w:rPr>
        <w:t>interested</w:t>
      </w:r>
      <w:r>
        <w:rPr>
          <w:color w:val="414042"/>
          <w:spacing w:val="-8"/>
        </w:rPr>
        <w:t xml:space="preserve"> </w:t>
      </w:r>
      <w:r>
        <w:rPr>
          <w:color w:val="414042"/>
        </w:rPr>
        <w:t>in</w:t>
      </w:r>
      <w:r>
        <w:rPr>
          <w:color w:val="414042"/>
          <w:spacing w:val="-8"/>
        </w:rPr>
        <w:t xml:space="preserve"> </w:t>
      </w:r>
      <w:r>
        <w:rPr>
          <w:color w:val="414042"/>
        </w:rPr>
        <w:t>nominating</w:t>
      </w:r>
      <w:r>
        <w:rPr>
          <w:color w:val="414042"/>
          <w:spacing w:val="-9"/>
        </w:rPr>
        <w:t xml:space="preserve"> </w:t>
      </w:r>
      <w:r>
        <w:rPr>
          <w:rFonts w:ascii="Ubuntu" w:hAnsi="Ubuntu"/>
          <w:b/>
          <w:i/>
          <w:color w:val="414042"/>
        </w:rPr>
        <w:t>“Intensive</w:t>
      </w:r>
      <w:r>
        <w:rPr>
          <w:rFonts w:ascii="Ubuntu" w:hAnsi="Ubuntu"/>
          <w:b/>
          <w:i/>
          <w:color w:val="414042"/>
          <w:spacing w:val="-9"/>
        </w:rPr>
        <w:t xml:space="preserve"> </w:t>
      </w:r>
      <w:r>
        <w:rPr>
          <w:rFonts w:ascii="Ubuntu" w:hAnsi="Ubuntu"/>
          <w:b/>
          <w:i/>
          <w:color w:val="414042"/>
          <w:spacing w:val="-3"/>
        </w:rPr>
        <w:t>Care</w:t>
      </w:r>
      <w:r>
        <w:rPr>
          <w:rFonts w:ascii="Ubuntu" w:hAnsi="Ubuntu"/>
          <w:b/>
          <w:i/>
          <w:color w:val="414042"/>
          <w:spacing w:val="-9"/>
        </w:rPr>
        <w:t xml:space="preserve"> </w:t>
      </w:r>
      <w:r>
        <w:rPr>
          <w:rFonts w:ascii="Ubuntu" w:hAnsi="Ubuntu"/>
          <w:b/>
          <w:i/>
          <w:color w:val="414042"/>
        </w:rPr>
        <w:t>Coordination</w:t>
      </w:r>
      <w:r>
        <w:rPr>
          <w:rFonts w:ascii="Ubuntu" w:hAnsi="Ubuntu"/>
          <w:b/>
          <w:i/>
          <w:color w:val="414042"/>
          <w:spacing w:val="-9"/>
        </w:rPr>
        <w:t xml:space="preserve"> </w:t>
      </w:r>
      <w:r>
        <w:rPr>
          <w:rFonts w:ascii="Ubuntu" w:hAnsi="Ubuntu"/>
          <w:b/>
          <w:i/>
          <w:color w:val="414042"/>
        </w:rPr>
        <w:t>Using</w:t>
      </w:r>
      <w:r>
        <w:rPr>
          <w:rFonts w:ascii="Ubuntu" w:hAnsi="Ubuntu"/>
          <w:b/>
          <w:i/>
          <w:color w:val="414042"/>
          <w:spacing w:val="-9"/>
        </w:rPr>
        <w:t xml:space="preserve"> </w:t>
      </w:r>
      <w:r>
        <w:rPr>
          <w:rFonts w:ascii="Ubuntu" w:hAnsi="Ubuntu"/>
          <w:b/>
          <w:i/>
          <w:color w:val="414042"/>
        </w:rPr>
        <w:t xml:space="preserve">High-Fidelity Wraparound” </w:t>
      </w:r>
      <w:r>
        <w:rPr>
          <w:color w:val="414042"/>
        </w:rPr>
        <w:t xml:space="preserve">for inclusion in Title IV-E Prevention Services Clearinghouse, which has been authorized under the </w:t>
      </w:r>
      <w:r>
        <w:rPr>
          <w:color w:val="414042"/>
          <w:spacing w:val="-3"/>
        </w:rPr>
        <w:t>Family</w:t>
      </w:r>
      <w:r>
        <w:rPr>
          <w:color w:val="414042"/>
          <w:spacing w:val="-8"/>
        </w:rPr>
        <w:t xml:space="preserve"> </w:t>
      </w:r>
      <w:r>
        <w:rPr>
          <w:color w:val="414042"/>
        </w:rPr>
        <w:t>First</w:t>
      </w:r>
      <w:r>
        <w:rPr>
          <w:color w:val="414042"/>
          <w:spacing w:val="-8"/>
        </w:rPr>
        <w:t xml:space="preserve"> </w:t>
      </w:r>
      <w:r>
        <w:rPr>
          <w:color w:val="414042"/>
        </w:rPr>
        <w:t>Prevention</w:t>
      </w:r>
      <w:r>
        <w:rPr>
          <w:color w:val="414042"/>
          <w:spacing w:val="-8"/>
        </w:rPr>
        <w:t xml:space="preserve"> </w:t>
      </w:r>
      <w:r>
        <w:rPr>
          <w:color w:val="414042"/>
        </w:rPr>
        <w:t>Services</w:t>
      </w:r>
      <w:r>
        <w:rPr>
          <w:color w:val="414042"/>
          <w:spacing w:val="-8"/>
        </w:rPr>
        <w:t xml:space="preserve"> </w:t>
      </w:r>
      <w:r>
        <w:rPr>
          <w:color w:val="414042"/>
        </w:rPr>
        <w:t>Act</w:t>
      </w:r>
      <w:r>
        <w:rPr>
          <w:color w:val="414042"/>
          <w:spacing w:val="-8"/>
        </w:rPr>
        <w:t xml:space="preserve"> </w:t>
      </w:r>
      <w:r>
        <w:rPr>
          <w:color w:val="414042"/>
        </w:rPr>
        <w:t>(FFPSA).</w:t>
      </w:r>
      <w:r>
        <w:rPr>
          <w:color w:val="414042"/>
          <w:spacing w:val="-8"/>
        </w:rPr>
        <w:t xml:space="preserve"> </w:t>
      </w:r>
      <w:r>
        <w:rPr>
          <w:color w:val="414042"/>
        </w:rPr>
        <w:t>Nominations</w:t>
      </w:r>
      <w:r>
        <w:rPr>
          <w:color w:val="414042"/>
          <w:spacing w:val="-8"/>
        </w:rPr>
        <w:t xml:space="preserve"> </w:t>
      </w:r>
      <w:r>
        <w:rPr>
          <w:color w:val="414042"/>
        </w:rPr>
        <w:t>must</w:t>
      </w:r>
      <w:r>
        <w:rPr>
          <w:color w:val="414042"/>
          <w:spacing w:val="-8"/>
        </w:rPr>
        <w:t xml:space="preserve"> </w:t>
      </w:r>
      <w:r>
        <w:rPr>
          <w:color w:val="414042"/>
        </w:rPr>
        <w:t>be</w:t>
      </w:r>
      <w:r>
        <w:rPr>
          <w:color w:val="414042"/>
          <w:spacing w:val="-8"/>
        </w:rPr>
        <w:t xml:space="preserve"> </w:t>
      </w:r>
      <w:r>
        <w:rPr>
          <w:color w:val="414042"/>
        </w:rPr>
        <w:t>submitted</w:t>
      </w:r>
      <w:r>
        <w:rPr>
          <w:color w:val="414042"/>
          <w:spacing w:val="-8"/>
        </w:rPr>
        <w:t xml:space="preserve"> </w:t>
      </w:r>
      <w:r>
        <w:rPr>
          <w:color w:val="414042"/>
        </w:rPr>
        <w:t>to</w:t>
      </w:r>
      <w:r>
        <w:rPr>
          <w:color w:val="414042"/>
          <w:spacing w:val="-9"/>
        </w:rPr>
        <w:t xml:space="preserve"> </w:t>
      </w:r>
      <w:hyperlink r:id="rId8">
        <w:r>
          <w:rPr>
            <w:color w:val="517489"/>
            <w:u w:val="single" w:color="517489"/>
          </w:rPr>
          <w:t>PreventionServices@abtassoc.com</w:t>
        </w:r>
      </w:hyperlink>
      <w:r>
        <w:rPr>
          <w:color w:val="517489"/>
        </w:rPr>
        <w:t xml:space="preserve"> </w:t>
      </w:r>
      <w:r>
        <w:rPr>
          <w:color w:val="414042"/>
        </w:rPr>
        <w:t>before</w:t>
      </w:r>
      <w:r>
        <w:rPr>
          <w:color w:val="414042"/>
          <w:spacing w:val="-5"/>
        </w:rPr>
        <w:t xml:space="preserve"> </w:t>
      </w:r>
      <w:r>
        <w:rPr>
          <w:color w:val="414042"/>
        </w:rPr>
        <w:t>October</w:t>
      </w:r>
      <w:r>
        <w:rPr>
          <w:color w:val="414042"/>
          <w:spacing w:val="-5"/>
        </w:rPr>
        <w:t xml:space="preserve"> </w:t>
      </w:r>
      <w:r>
        <w:rPr>
          <w:color w:val="414042"/>
        </w:rPr>
        <w:t>31st.</w:t>
      </w:r>
      <w:r>
        <w:rPr>
          <w:color w:val="414042"/>
          <w:spacing w:val="-5"/>
        </w:rPr>
        <w:t xml:space="preserve"> </w:t>
      </w:r>
      <w:r>
        <w:rPr>
          <w:color w:val="414042"/>
        </w:rPr>
        <w:t>The</w:t>
      </w:r>
      <w:r>
        <w:rPr>
          <w:color w:val="414042"/>
          <w:spacing w:val="-5"/>
        </w:rPr>
        <w:t xml:space="preserve"> </w:t>
      </w:r>
      <w:r>
        <w:rPr>
          <w:color w:val="414042"/>
        </w:rPr>
        <w:t>Clearinghouse</w:t>
      </w:r>
      <w:r>
        <w:rPr>
          <w:color w:val="414042"/>
          <w:spacing w:val="-5"/>
        </w:rPr>
        <w:t xml:space="preserve"> </w:t>
      </w:r>
      <w:r>
        <w:rPr>
          <w:color w:val="414042"/>
        </w:rPr>
        <w:t>reviews</w:t>
      </w:r>
      <w:r>
        <w:rPr>
          <w:color w:val="414042"/>
          <w:spacing w:val="-5"/>
        </w:rPr>
        <w:t xml:space="preserve"> </w:t>
      </w:r>
      <w:r>
        <w:rPr>
          <w:color w:val="414042"/>
        </w:rPr>
        <w:t>will</w:t>
      </w:r>
      <w:r>
        <w:rPr>
          <w:color w:val="414042"/>
          <w:spacing w:val="-5"/>
        </w:rPr>
        <w:t xml:space="preserve"> </w:t>
      </w:r>
      <w:r>
        <w:rPr>
          <w:color w:val="414042"/>
        </w:rPr>
        <w:t>determine</w:t>
      </w:r>
      <w:r>
        <w:rPr>
          <w:color w:val="414042"/>
          <w:spacing w:val="-5"/>
        </w:rPr>
        <w:t xml:space="preserve"> </w:t>
      </w:r>
      <w:r>
        <w:rPr>
          <w:color w:val="414042"/>
        </w:rPr>
        <w:t>which</w:t>
      </w:r>
      <w:r>
        <w:rPr>
          <w:color w:val="414042"/>
          <w:spacing w:val="-5"/>
        </w:rPr>
        <w:t xml:space="preserve"> </w:t>
      </w:r>
      <w:r>
        <w:rPr>
          <w:color w:val="414042"/>
        </w:rPr>
        <w:t>programs</w:t>
      </w:r>
      <w:r>
        <w:rPr>
          <w:color w:val="414042"/>
          <w:spacing w:val="-5"/>
        </w:rPr>
        <w:t xml:space="preserve"> </w:t>
      </w:r>
      <w:r>
        <w:rPr>
          <w:color w:val="414042"/>
        </w:rPr>
        <w:t>can</w:t>
      </w:r>
      <w:r>
        <w:rPr>
          <w:color w:val="414042"/>
          <w:spacing w:val="-5"/>
        </w:rPr>
        <w:t xml:space="preserve"> </w:t>
      </w:r>
      <w:r>
        <w:rPr>
          <w:color w:val="414042"/>
        </w:rPr>
        <w:t>be</w:t>
      </w:r>
      <w:r>
        <w:rPr>
          <w:color w:val="414042"/>
          <w:spacing w:val="-5"/>
        </w:rPr>
        <w:t xml:space="preserve"> </w:t>
      </w:r>
      <w:r>
        <w:rPr>
          <w:color w:val="414042"/>
        </w:rPr>
        <w:t>funded</w:t>
      </w:r>
      <w:r>
        <w:rPr>
          <w:color w:val="414042"/>
          <w:spacing w:val="-5"/>
        </w:rPr>
        <w:t xml:space="preserve"> </w:t>
      </w:r>
      <w:r>
        <w:rPr>
          <w:color w:val="414042"/>
        </w:rPr>
        <w:t>under</w:t>
      </w:r>
      <w:r>
        <w:rPr>
          <w:color w:val="414042"/>
          <w:spacing w:val="-5"/>
        </w:rPr>
        <w:t xml:space="preserve"> </w:t>
      </w:r>
      <w:r>
        <w:rPr>
          <w:color w:val="414042"/>
        </w:rPr>
        <w:t>FFPSA.</w:t>
      </w:r>
    </w:p>
    <w:p w:rsidR="007E59EF" w:rsidRDefault="009740A5">
      <w:pPr>
        <w:pStyle w:val="BodyText"/>
        <w:spacing w:before="109" w:line="314" w:lineRule="auto"/>
        <w:ind w:left="1068" w:right="1061"/>
      </w:pPr>
      <w:r>
        <w:rPr>
          <w:color w:val="414042"/>
        </w:rPr>
        <w:t>Our goal is to promote consistency across the various nominations, so that each nomination describes a model with a set of shared characteristics and a strong set of supportive research studies. We believe this will strengthen the case for including Wraparound in the Clearinghouse, and reduce potential confusion regarding different vari- ants of Wraparound. We believe that consistency across nominations can be achieved if each of the nominations:</w:t>
      </w:r>
    </w:p>
    <w:p w:rsidR="007E59EF" w:rsidRDefault="007B7991">
      <w:pPr>
        <w:spacing w:before="91" w:line="276" w:lineRule="auto"/>
        <w:ind w:left="4660" w:right="1034" w:hanging="270"/>
        <w:rPr>
          <w:sz w:val="20"/>
        </w:rPr>
      </w:pPr>
      <w:r>
        <w:pict>
          <v:group id="_x0000_s1072" style="position:absolute;left:0;text-align:left;margin-left:0;margin-top:31.8pt;width:195.15pt;height:226.5pt;z-index:1144;mso-position-horizontal-relative:page" coordorigin=",636" coordsize="3903,4530">
            <v:rect id="_x0000_s1074" style="position:absolute;top:636;width:3903;height:4530" fillcolor="#d5e4ea" stroked="f"/>
            <v:shape id="_x0000_s1073" type="#_x0000_t202" style="position:absolute;top:636;width:3903;height:4530" filled="f" stroked="f">
              <v:textbox inset="0,0,0,0">
                <w:txbxContent>
                  <w:p w:rsidR="009740A5" w:rsidRDefault="009740A5">
                    <w:pPr>
                      <w:spacing w:before="1"/>
                      <w:rPr>
                        <w:sz w:val="43"/>
                      </w:rPr>
                    </w:pPr>
                  </w:p>
                  <w:p w:rsidR="009740A5" w:rsidRDefault="009740A5">
                    <w:pPr>
                      <w:spacing w:line="328" w:lineRule="auto"/>
                      <w:ind w:left="558" w:right="456"/>
                      <w:rPr>
                        <w:rFonts w:ascii="Ubuntu"/>
                        <w:i/>
                        <w:sz w:val="28"/>
                      </w:rPr>
                    </w:pPr>
                    <w:r>
                      <w:rPr>
                        <w:rFonts w:ascii="Ubuntu"/>
                        <w:i/>
                        <w:color w:val="517489"/>
                        <w:sz w:val="28"/>
                      </w:rPr>
                      <w:t>It is crucially important that Intensive</w:t>
                    </w:r>
                  </w:p>
                  <w:p w:rsidR="009740A5" w:rsidRDefault="009740A5">
                    <w:pPr>
                      <w:spacing w:line="328" w:lineRule="auto"/>
                      <w:ind w:left="558" w:right="456"/>
                      <w:rPr>
                        <w:rFonts w:ascii="Ubuntu"/>
                        <w:i/>
                        <w:sz w:val="28"/>
                      </w:rPr>
                    </w:pPr>
                    <w:r>
                      <w:rPr>
                        <w:rFonts w:ascii="Ubuntu"/>
                        <w:i/>
                        <w:color w:val="517489"/>
                        <w:spacing w:val="-3"/>
                        <w:sz w:val="28"/>
                      </w:rPr>
                      <w:t xml:space="preserve">Care </w:t>
                    </w:r>
                    <w:r>
                      <w:rPr>
                        <w:rFonts w:ascii="Ubuntu"/>
                        <w:i/>
                        <w:color w:val="517489"/>
                        <w:sz w:val="28"/>
                      </w:rPr>
                      <w:t>Coordination using High-Fidelity Wraparound is included in the Clearinghouse, so that it can be</w:t>
                    </w:r>
                    <w:r>
                      <w:rPr>
                        <w:rFonts w:ascii="Ubuntu"/>
                        <w:i/>
                        <w:color w:val="517489"/>
                        <w:spacing w:val="-13"/>
                        <w:sz w:val="28"/>
                      </w:rPr>
                      <w:t xml:space="preserve"> </w:t>
                    </w:r>
                    <w:r>
                      <w:rPr>
                        <w:rFonts w:ascii="Ubuntu"/>
                        <w:i/>
                        <w:color w:val="517489"/>
                        <w:sz w:val="28"/>
                      </w:rPr>
                      <w:t>funded under the FFPSA.</w:t>
                    </w:r>
                  </w:p>
                </w:txbxContent>
              </v:textbox>
            </v:shape>
            <w10:wrap anchorx="page"/>
          </v:group>
        </w:pict>
      </w:r>
      <w:r w:rsidR="009740A5">
        <w:rPr>
          <w:rFonts w:ascii="Myriad Pro" w:hAnsi="Myriad Pro"/>
          <w:color w:val="414042"/>
          <w:sz w:val="25"/>
        </w:rPr>
        <w:t xml:space="preserve">» </w:t>
      </w:r>
      <w:r w:rsidR="009740A5">
        <w:rPr>
          <w:color w:val="414042"/>
          <w:sz w:val="20"/>
        </w:rPr>
        <w:t xml:space="preserve">Refers to the approach using the same name: </w:t>
      </w:r>
      <w:r w:rsidR="009740A5">
        <w:rPr>
          <w:i/>
          <w:color w:val="414042"/>
          <w:sz w:val="20"/>
        </w:rPr>
        <w:t>"Intensive Care Coordination Using High-Fidelity Wraparound</w:t>
      </w:r>
      <w:r w:rsidR="009740A5">
        <w:rPr>
          <w:color w:val="414042"/>
          <w:sz w:val="20"/>
        </w:rPr>
        <w:t>;”</w:t>
      </w:r>
    </w:p>
    <w:p w:rsidR="007E59EF" w:rsidRDefault="009740A5">
      <w:pPr>
        <w:pStyle w:val="BodyText"/>
        <w:spacing w:before="78" w:line="300" w:lineRule="exact"/>
        <w:ind w:left="4660" w:right="971" w:hanging="270"/>
      </w:pPr>
      <w:r>
        <w:rPr>
          <w:rFonts w:ascii="Myriad Pro" w:hAnsi="Myriad Pro"/>
          <w:color w:val="414042"/>
          <w:sz w:val="25"/>
        </w:rPr>
        <w:t xml:space="preserve">» </w:t>
      </w:r>
      <w:r>
        <w:rPr>
          <w:color w:val="414042"/>
        </w:rPr>
        <w:t>Consistently and accurately cites the best research and endorsements, including controlled research studies that meet criteria, and listings on inventories or other clearinghouses that catalogue effective practices; and</w:t>
      </w:r>
    </w:p>
    <w:p w:rsidR="007E59EF" w:rsidRDefault="009740A5">
      <w:pPr>
        <w:pStyle w:val="BodyText"/>
        <w:spacing w:before="92" w:line="295" w:lineRule="auto"/>
        <w:ind w:left="4660" w:right="1267" w:hanging="270"/>
        <w:jc w:val="both"/>
      </w:pPr>
      <w:r>
        <w:rPr>
          <w:rFonts w:ascii="Myriad Pro" w:hAnsi="Myriad Pro"/>
          <w:color w:val="414042"/>
          <w:sz w:val="25"/>
        </w:rPr>
        <w:t xml:space="preserve">» </w:t>
      </w:r>
      <w:r>
        <w:rPr>
          <w:color w:val="414042"/>
        </w:rPr>
        <w:t>Emphasizes the availability of an array of implementation supports that are research based and aligned with implementation science, to ensure high-fidelity practice. These include:</w:t>
      </w:r>
    </w:p>
    <w:p w:rsidR="007E59EF" w:rsidRDefault="009740A5">
      <w:pPr>
        <w:pStyle w:val="BodyText"/>
        <w:spacing w:before="55"/>
        <w:ind w:left="4660"/>
      </w:pPr>
      <w:r>
        <w:rPr>
          <w:rFonts w:ascii="Calibri" w:hAnsi="Calibri"/>
          <w:color w:val="414042"/>
          <w:sz w:val="25"/>
        </w:rPr>
        <w:t xml:space="preserve">ͧ  </w:t>
      </w:r>
      <w:r>
        <w:rPr>
          <w:rFonts w:ascii="Calibri" w:hAnsi="Calibri"/>
          <w:color w:val="414042"/>
          <w:spacing w:val="15"/>
          <w:sz w:val="25"/>
        </w:rPr>
        <w:t xml:space="preserve"> </w:t>
      </w:r>
      <w:r>
        <w:rPr>
          <w:color w:val="414042"/>
        </w:rPr>
        <w:t>Descriptions of a clearly defined practice model;</w:t>
      </w:r>
    </w:p>
    <w:p w:rsidR="007E59EF" w:rsidRDefault="009740A5">
      <w:pPr>
        <w:pStyle w:val="BodyText"/>
        <w:spacing w:before="85" w:line="292" w:lineRule="auto"/>
        <w:ind w:left="4930" w:right="1034" w:hanging="270"/>
      </w:pPr>
      <w:r>
        <w:rPr>
          <w:rFonts w:ascii="Calibri" w:hAnsi="Calibri"/>
          <w:color w:val="414042"/>
          <w:sz w:val="25"/>
        </w:rPr>
        <w:t xml:space="preserve">ͧ   </w:t>
      </w:r>
      <w:r>
        <w:rPr>
          <w:color w:val="414042"/>
        </w:rPr>
        <w:t>Protocols and manuals that provide a well-developed and clearly defined training, mentoring, and certification process for care coordinators and Wraparound supervisors;</w:t>
      </w:r>
    </w:p>
    <w:p w:rsidR="007E59EF" w:rsidRDefault="009740A5">
      <w:pPr>
        <w:pStyle w:val="BodyText"/>
        <w:spacing w:before="57" w:line="292" w:lineRule="auto"/>
        <w:ind w:left="4930" w:right="1246" w:hanging="270"/>
      </w:pPr>
      <w:r>
        <w:rPr>
          <w:rFonts w:ascii="Calibri" w:hAnsi="Calibri"/>
          <w:color w:val="414042"/>
          <w:sz w:val="25"/>
        </w:rPr>
        <w:t xml:space="preserve">ͧ   </w:t>
      </w:r>
      <w:r>
        <w:rPr>
          <w:color w:val="414042"/>
        </w:rPr>
        <w:t>Reliable fidelity tools, as well as training on use of those tools, and reports from the data collected by those tools, to help sites respond quickly as problems are identified; and</w:t>
      </w:r>
    </w:p>
    <w:p w:rsidR="007E59EF" w:rsidRDefault="009740A5">
      <w:pPr>
        <w:pStyle w:val="BodyText"/>
        <w:spacing w:before="57"/>
        <w:ind w:left="4660"/>
      </w:pPr>
      <w:r>
        <w:rPr>
          <w:rFonts w:ascii="Calibri" w:hAnsi="Calibri"/>
          <w:color w:val="414042"/>
          <w:sz w:val="25"/>
        </w:rPr>
        <w:t xml:space="preserve">ͧ  </w:t>
      </w:r>
      <w:r>
        <w:rPr>
          <w:rFonts w:ascii="Calibri" w:hAnsi="Calibri"/>
          <w:color w:val="414042"/>
          <w:spacing w:val="15"/>
          <w:sz w:val="25"/>
        </w:rPr>
        <w:t xml:space="preserve"> </w:t>
      </w:r>
      <w:r>
        <w:rPr>
          <w:color w:val="414042"/>
          <w:spacing w:val="-3"/>
        </w:rPr>
        <w:t>S</w:t>
      </w:r>
      <w:r>
        <w:rPr>
          <w:color w:val="414042"/>
        </w:rPr>
        <w:t>ystem and organizational assessments to help build supportive</w:t>
      </w:r>
    </w:p>
    <w:p w:rsidR="007E59EF" w:rsidRDefault="009740A5">
      <w:pPr>
        <w:pStyle w:val="BodyText"/>
        <w:spacing w:before="41"/>
        <w:ind w:left="4912" w:right="6008"/>
        <w:jc w:val="center"/>
      </w:pPr>
      <w:r>
        <w:rPr>
          <w:color w:val="414042"/>
        </w:rPr>
        <w:t>environments.</w:t>
      </w:r>
    </w:p>
    <w:p w:rsidR="007E59EF" w:rsidRDefault="007E59EF">
      <w:pPr>
        <w:jc w:val="center"/>
        <w:sectPr w:rsidR="007E59EF">
          <w:footerReference w:type="default" r:id="rId9"/>
          <w:type w:val="continuous"/>
          <w:pgSz w:w="12240" w:h="15840"/>
          <w:pgMar w:top="0" w:right="0" w:bottom="780" w:left="0" w:header="720" w:footer="580" w:gutter="0"/>
          <w:pgNumType w:start="1"/>
          <w:cols w:space="720"/>
        </w:sectPr>
      </w:pPr>
    </w:p>
    <w:p w:rsidR="007E59EF" w:rsidRDefault="007B7991">
      <w:pPr>
        <w:pStyle w:val="BodyText"/>
        <w:ind w:left="1080"/>
      </w:pPr>
      <w:r>
        <w:pict>
          <v:group id="_x0000_s1065" style="width:7in;height:119.1pt;mso-position-horizontal-relative:char;mso-position-vertical-relative:line" coordsize="10080,2382">
            <v:rect id="_x0000_s1071" style="position:absolute;width:6812;height:2382" fillcolor="#dce6ea" stroked="f"/>
            <v:rect id="_x0000_s1070" style="position:absolute;left:6811;width:3269;height:2382" fillcolor="#fada51" stroked="f"/>
            <v:shape id="_x0000_s1069" style="position:absolute;left:6120;top:499;width:1383;height:1383" coordorigin="6120,500" coordsize="1383,1383" path="m6811,500r-75,4l6663,516r-70,19l6526,561r-64,33l6403,633r-55,45l6298,728r-45,55l6214,842r-32,63l6155,972r-19,71l6124,1115r-4,76l6124,1266r12,73l6155,1409r27,67l6214,1540r39,59l6298,1654r50,50l6403,1749r59,39l6526,1820r67,27l6663,1866r73,12l6811,1882r76,-4l6959,1866r71,-19l7097,1820r63,-32l7219,1749r55,-45l7324,1654r45,-55l7408,1540r33,-64l7467,1409r19,-70l7498,1266r4,-75l7498,1115r-12,-72l7467,972r-26,-67l7408,842r-39,-59l7324,728r-50,-50l7219,633r-59,-39l7097,561r-67,-26l6959,516r-72,-12l6811,500xe" fillcolor="#fada51" stroked="f">
              <v:path arrowok="t"/>
            </v:shape>
            <v:shape id="_x0000_s1068" style="position:absolute;left:6677;top:682;width:268;height:1017" coordorigin="6677,682" coordsize="268,1017" o:spt="100" adj="0,,0" path="m6926,682r-229,l6697,940r1,58l6700,1053r3,53l6707,1158r5,50l6717,1259r7,52l6731,1362r164,l6902,1311r6,-52l6913,1208r5,-50l6922,1106r2,-53l6926,998r,-58l6926,682xm6811,1434r-25,2l6762,1443r-22,11l6718,1469r-18,19l6688,1510r-8,27l6677,1567r3,30l6688,1623r12,22l6718,1665r22,15l6762,1690r24,7l6811,1699r25,-2l6860,1690r23,-10l6904,1665r18,-20l6935,1623r8,-26l6945,1567r-2,-30l6935,1510r-13,-22l6904,1469r-21,-15l6860,1443r-24,-7l6811,1434xe" stroked="f">
              <v:stroke joinstyle="round"/>
              <v:formulas/>
              <v:path arrowok="t" o:connecttype="segments"/>
            </v:shape>
            <v:shape id="_x0000_s1067" type="#_x0000_t202" style="position:absolute;left:6811;width:3269;height:2382" filled="f" stroked="f">
              <v:textbox inset="0,0,0,0">
                <w:txbxContent>
                  <w:p w:rsidR="009740A5" w:rsidRDefault="009740A5">
                    <w:pPr>
                      <w:rPr>
                        <w:sz w:val="24"/>
                      </w:rPr>
                    </w:pPr>
                  </w:p>
                  <w:p w:rsidR="009740A5" w:rsidRDefault="009740A5">
                    <w:pPr>
                      <w:rPr>
                        <w:sz w:val="25"/>
                      </w:rPr>
                    </w:pPr>
                  </w:p>
                  <w:p w:rsidR="009740A5" w:rsidRDefault="009740A5">
                    <w:pPr>
                      <w:spacing w:before="1" w:line="307" w:lineRule="auto"/>
                      <w:ind w:left="583" w:right="349"/>
                      <w:rPr>
                        <w:rFonts w:ascii="Ubuntu" w:hAnsi="Ubuntu"/>
                        <w:i/>
                      </w:rPr>
                    </w:pPr>
                    <w:r>
                      <w:rPr>
                        <w:rFonts w:ascii="Ubuntu" w:hAnsi="Ubuntu"/>
                        <w:color w:val="414042"/>
                        <w:sz w:val="20"/>
                      </w:rPr>
                      <w:t xml:space="preserve">Instructions from the Clearinghouse’s call for nominations are shown in </w:t>
                    </w:r>
                    <w:r>
                      <w:rPr>
                        <w:rFonts w:ascii="Ubuntu" w:hAnsi="Ubuntu"/>
                        <w:i/>
                        <w:color w:val="3E6A80"/>
                      </w:rPr>
                      <w:t>dark blue italics.</w:t>
                    </w:r>
                  </w:p>
                </w:txbxContent>
              </v:textbox>
            </v:shape>
            <v:shape id="_x0000_s1066" type="#_x0000_t202" style="position:absolute;width:6812;height:2382" filled="f" stroked="f">
              <v:textbox inset="0,0,0,0">
                <w:txbxContent>
                  <w:p w:rsidR="009740A5" w:rsidRDefault="009740A5"/>
                  <w:p w:rsidR="009740A5" w:rsidRDefault="009740A5">
                    <w:pPr>
                      <w:spacing w:before="187" w:line="314" w:lineRule="auto"/>
                      <w:ind w:left="489" w:right="1173"/>
                      <w:rPr>
                        <w:rFonts w:ascii="Ubuntu"/>
                        <w:sz w:val="20"/>
                      </w:rPr>
                    </w:pPr>
                    <w:r>
                      <w:rPr>
                        <w:rFonts w:ascii="Ubuntu"/>
                        <w:color w:val="414042"/>
                        <w:sz w:val="20"/>
                      </w:rPr>
                      <w:t>The sections that follow provide guidance regarding how to include this information in the sections of the nomination letter/email requested by the</w:t>
                    </w:r>
                    <w:r>
                      <w:rPr>
                        <w:rFonts w:ascii="Ubuntu"/>
                        <w:color w:val="414042"/>
                        <w:spacing w:val="-19"/>
                        <w:sz w:val="20"/>
                      </w:rPr>
                      <w:t xml:space="preserve"> </w:t>
                    </w:r>
                    <w:r>
                      <w:rPr>
                        <w:rFonts w:ascii="Ubuntu"/>
                        <w:color w:val="414042"/>
                        <w:sz w:val="20"/>
                      </w:rPr>
                      <w:t xml:space="preserve">Clearinghouse. </w:t>
                    </w:r>
                    <w:r>
                      <w:rPr>
                        <w:rFonts w:ascii="Ubuntu"/>
                        <w:color w:val="414042"/>
                        <w:spacing w:val="-4"/>
                        <w:sz w:val="20"/>
                      </w:rPr>
                      <w:t xml:space="preserve">You </w:t>
                    </w:r>
                    <w:r>
                      <w:rPr>
                        <w:rFonts w:ascii="Ubuntu"/>
                        <w:color w:val="414042"/>
                        <w:sz w:val="20"/>
                      </w:rPr>
                      <w:t>are welcome to copy and use verbatim any of this text or supporting material as part of your</w:t>
                    </w:r>
                    <w:r>
                      <w:rPr>
                        <w:rFonts w:ascii="Ubuntu"/>
                        <w:color w:val="414042"/>
                        <w:spacing w:val="-4"/>
                        <w:sz w:val="20"/>
                      </w:rPr>
                      <w:t xml:space="preserve"> </w:t>
                    </w:r>
                    <w:r>
                      <w:rPr>
                        <w:rFonts w:ascii="Ubuntu"/>
                        <w:color w:val="414042"/>
                        <w:sz w:val="20"/>
                      </w:rPr>
                      <w:t>nomination.</w:t>
                    </w:r>
                  </w:p>
                </w:txbxContent>
              </v:textbox>
            </v:shape>
            <w10:anchorlock/>
          </v:group>
        </w:pict>
      </w:r>
    </w:p>
    <w:p w:rsidR="007E59EF" w:rsidRDefault="007E59EF">
      <w:pPr>
        <w:pStyle w:val="BodyText"/>
      </w:pPr>
    </w:p>
    <w:p w:rsidR="007E59EF" w:rsidRDefault="007E59EF">
      <w:pPr>
        <w:pStyle w:val="BodyText"/>
        <w:spacing w:before="2"/>
        <w:rPr>
          <w:sz w:val="21"/>
        </w:rPr>
      </w:pPr>
    </w:p>
    <w:p w:rsidR="007E59EF" w:rsidRDefault="009740A5">
      <w:pPr>
        <w:pStyle w:val="BodyText"/>
        <w:spacing w:before="1"/>
        <w:ind w:left="1080"/>
      </w:pPr>
      <w:r>
        <w:rPr>
          <w:color w:val="414042"/>
        </w:rPr>
        <w:t>From the Clearinghouse call for nominations:</w:t>
      </w:r>
    </w:p>
    <w:p w:rsidR="007E59EF" w:rsidRDefault="007E59EF">
      <w:pPr>
        <w:pStyle w:val="BodyText"/>
        <w:spacing w:before="8"/>
        <w:rPr>
          <w:sz w:val="14"/>
        </w:rPr>
      </w:pPr>
    </w:p>
    <w:p w:rsidR="007E59EF" w:rsidRDefault="009740A5">
      <w:pPr>
        <w:pStyle w:val="Heading5"/>
        <w:spacing w:before="94" w:line="285" w:lineRule="auto"/>
        <w:ind w:left="1627" w:right="1874"/>
        <w:jc w:val="both"/>
      </w:pPr>
      <w:r>
        <w:rPr>
          <w:color w:val="3E6A80"/>
        </w:rPr>
        <w:t>Name of program or service: Some programs or services have changed names or are known by multiple names. Please list all known names for the program or service and if</w:t>
      </w:r>
      <w:r>
        <w:rPr>
          <w:color w:val="3E6A80"/>
          <w:spacing w:val="-21"/>
        </w:rPr>
        <w:t xml:space="preserve"> </w:t>
      </w:r>
      <w:r>
        <w:rPr>
          <w:color w:val="3E6A80"/>
        </w:rPr>
        <w:t>applicable, specify the version or adaptation recommended for</w:t>
      </w:r>
      <w:r>
        <w:rPr>
          <w:color w:val="3E6A80"/>
          <w:spacing w:val="-2"/>
        </w:rPr>
        <w:t xml:space="preserve"> </w:t>
      </w:r>
      <w:r>
        <w:rPr>
          <w:color w:val="3E6A80"/>
        </w:rPr>
        <w:t>review.</w:t>
      </w:r>
    </w:p>
    <w:p w:rsidR="007E59EF" w:rsidRDefault="007E59EF">
      <w:pPr>
        <w:pStyle w:val="BodyText"/>
        <w:rPr>
          <w:rFonts w:ascii="Ubuntu"/>
          <w:i/>
        </w:rPr>
      </w:pPr>
    </w:p>
    <w:p w:rsidR="007E59EF" w:rsidRDefault="007E59EF">
      <w:pPr>
        <w:pStyle w:val="BodyText"/>
        <w:spacing w:before="7"/>
        <w:rPr>
          <w:rFonts w:ascii="Ubuntu"/>
          <w:i/>
          <w:sz w:val="17"/>
        </w:rPr>
      </w:pPr>
    </w:p>
    <w:p w:rsidR="007E59EF" w:rsidRDefault="007E59EF">
      <w:pPr>
        <w:rPr>
          <w:rFonts w:ascii="Ubuntu"/>
          <w:sz w:val="17"/>
        </w:rPr>
        <w:sectPr w:rsidR="007E59EF">
          <w:pgSz w:w="12240" w:h="15840"/>
          <w:pgMar w:top="960" w:right="0" w:bottom="780" w:left="0" w:header="0" w:footer="580" w:gutter="0"/>
          <w:cols w:space="720"/>
        </w:sectPr>
      </w:pPr>
    </w:p>
    <w:p w:rsidR="007E59EF" w:rsidRDefault="009740A5">
      <w:pPr>
        <w:pStyle w:val="BodyText"/>
        <w:spacing w:before="95" w:line="314" w:lineRule="auto"/>
        <w:ind w:left="1080"/>
        <w:jc w:val="both"/>
      </w:pPr>
      <w:r>
        <w:rPr>
          <w:i/>
          <w:color w:val="565658"/>
        </w:rPr>
        <w:t xml:space="preserve">Intensive Care Coordination Using High-Fidelity Wrapa- round </w:t>
      </w:r>
      <w:r>
        <w:rPr>
          <w:color w:val="414042"/>
        </w:rPr>
        <w:t>is an effective, research-based strategy that</w:t>
      </w:r>
      <w:r>
        <w:rPr>
          <w:color w:val="414042"/>
          <w:spacing w:val="-19"/>
        </w:rPr>
        <w:t xml:space="preserve"> </w:t>
      </w:r>
      <w:r>
        <w:rPr>
          <w:color w:val="414042"/>
        </w:rPr>
        <w:t>aims to</w:t>
      </w:r>
      <w:r>
        <w:rPr>
          <w:color w:val="414042"/>
          <w:spacing w:val="-8"/>
        </w:rPr>
        <w:t xml:space="preserve"> </w:t>
      </w:r>
      <w:r>
        <w:rPr>
          <w:color w:val="414042"/>
        </w:rPr>
        <w:t>meet</w:t>
      </w:r>
      <w:r>
        <w:rPr>
          <w:color w:val="414042"/>
          <w:spacing w:val="-8"/>
        </w:rPr>
        <w:t xml:space="preserve"> </w:t>
      </w:r>
      <w:r>
        <w:rPr>
          <w:color w:val="414042"/>
        </w:rPr>
        <w:t>the</w:t>
      </w:r>
      <w:r>
        <w:rPr>
          <w:color w:val="414042"/>
          <w:spacing w:val="-8"/>
        </w:rPr>
        <w:t xml:space="preserve"> </w:t>
      </w:r>
      <w:r>
        <w:rPr>
          <w:color w:val="414042"/>
        </w:rPr>
        <w:t>complex</w:t>
      </w:r>
      <w:r>
        <w:rPr>
          <w:color w:val="414042"/>
          <w:spacing w:val="-8"/>
        </w:rPr>
        <w:t xml:space="preserve"> </w:t>
      </w:r>
      <w:r>
        <w:rPr>
          <w:color w:val="414042"/>
        </w:rPr>
        <w:t>needs</w:t>
      </w:r>
      <w:r>
        <w:rPr>
          <w:color w:val="414042"/>
          <w:spacing w:val="-8"/>
        </w:rPr>
        <w:t xml:space="preserve"> </w:t>
      </w:r>
      <w:r>
        <w:rPr>
          <w:color w:val="414042"/>
        </w:rPr>
        <w:t>of</w:t>
      </w:r>
      <w:r>
        <w:rPr>
          <w:color w:val="414042"/>
          <w:spacing w:val="-8"/>
        </w:rPr>
        <w:t xml:space="preserve"> </w:t>
      </w:r>
      <w:r>
        <w:rPr>
          <w:color w:val="414042"/>
        </w:rPr>
        <w:t>children</w:t>
      </w:r>
      <w:r>
        <w:rPr>
          <w:color w:val="414042"/>
          <w:spacing w:val="-8"/>
        </w:rPr>
        <w:t xml:space="preserve"> </w:t>
      </w:r>
      <w:r>
        <w:rPr>
          <w:color w:val="414042"/>
        </w:rPr>
        <w:t>and</w:t>
      </w:r>
      <w:r>
        <w:rPr>
          <w:color w:val="414042"/>
          <w:spacing w:val="-8"/>
        </w:rPr>
        <w:t xml:space="preserve"> </w:t>
      </w:r>
      <w:r>
        <w:rPr>
          <w:color w:val="414042"/>
        </w:rPr>
        <w:t>adolescents who are involved with several child and family-serving systems (e.g., mental health, child welfare, juvenile justice, special education, etc.); who are at risk of out of home and out of community placement;</w:t>
      </w:r>
      <w:r>
        <w:rPr>
          <w:color w:val="414042"/>
          <w:spacing w:val="-14"/>
        </w:rPr>
        <w:t xml:space="preserve"> </w:t>
      </w:r>
      <w:r>
        <w:rPr>
          <w:color w:val="414042"/>
        </w:rPr>
        <w:t>and/or</w:t>
      </w:r>
      <w:r>
        <w:rPr>
          <w:color w:val="414042"/>
          <w:spacing w:val="-2"/>
        </w:rPr>
        <w:t xml:space="preserve"> </w:t>
      </w:r>
      <w:r>
        <w:rPr>
          <w:color w:val="414042"/>
        </w:rPr>
        <w:t>who experience complex emotional, behavioral, or mental health needs.</w:t>
      </w:r>
    </w:p>
    <w:p w:rsidR="007E59EF" w:rsidRDefault="009740A5">
      <w:pPr>
        <w:pStyle w:val="BodyText"/>
        <w:spacing w:before="170" w:line="314" w:lineRule="auto"/>
        <w:ind w:left="1080"/>
        <w:jc w:val="both"/>
      </w:pPr>
      <w:r>
        <w:rPr>
          <w:color w:val="414042"/>
        </w:rPr>
        <w:t>This type of care coordination is a highly structured, team-based, collaborative approach that convenes families,</w:t>
      </w:r>
      <w:r>
        <w:rPr>
          <w:color w:val="414042"/>
          <w:spacing w:val="-6"/>
        </w:rPr>
        <w:t xml:space="preserve"> </w:t>
      </w:r>
      <w:r>
        <w:rPr>
          <w:color w:val="414042"/>
        </w:rPr>
        <w:t>providers,</w:t>
      </w:r>
      <w:r>
        <w:rPr>
          <w:color w:val="414042"/>
          <w:spacing w:val="-6"/>
        </w:rPr>
        <w:t xml:space="preserve"> </w:t>
      </w:r>
      <w:r>
        <w:rPr>
          <w:color w:val="414042"/>
        </w:rPr>
        <w:t>and</w:t>
      </w:r>
      <w:r>
        <w:rPr>
          <w:color w:val="414042"/>
          <w:spacing w:val="-6"/>
        </w:rPr>
        <w:t xml:space="preserve"> </w:t>
      </w:r>
      <w:r>
        <w:rPr>
          <w:color w:val="414042"/>
        </w:rPr>
        <w:t>key</w:t>
      </w:r>
      <w:r>
        <w:rPr>
          <w:color w:val="414042"/>
          <w:spacing w:val="-6"/>
        </w:rPr>
        <w:t xml:space="preserve"> </w:t>
      </w:r>
      <w:r>
        <w:rPr>
          <w:color w:val="414042"/>
        </w:rPr>
        <w:t>members</w:t>
      </w:r>
      <w:r>
        <w:rPr>
          <w:color w:val="414042"/>
          <w:spacing w:val="-6"/>
        </w:rPr>
        <w:t xml:space="preserve"> </w:t>
      </w:r>
      <w:r>
        <w:rPr>
          <w:color w:val="414042"/>
        </w:rPr>
        <w:t>of</w:t>
      </w:r>
      <w:r>
        <w:rPr>
          <w:color w:val="414042"/>
          <w:spacing w:val="-6"/>
        </w:rPr>
        <w:t xml:space="preserve"> </w:t>
      </w:r>
      <w:r>
        <w:rPr>
          <w:color w:val="414042"/>
        </w:rPr>
        <w:t>the</w:t>
      </w:r>
      <w:r>
        <w:rPr>
          <w:color w:val="414042"/>
          <w:spacing w:val="-6"/>
        </w:rPr>
        <w:t xml:space="preserve"> </w:t>
      </w:r>
      <w:r>
        <w:rPr>
          <w:color w:val="414042"/>
        </w:rPr>
        <w:t>family’s</w:t>
      </w:r>
      <w:r>
        <w:rPr>
          <w:color w:val="414042"/>
          <w:spacing w:val="-6"/>
        </w:rPr>
        <w:t xml:space="preserve"> </w:t>
      </w:r>
      <w:r>
        <w:rPr>
          <w:color w:val="414042"/>
        </w:rPr>
        <w:t>so- cial</w:t>
      </w:r>
      <w:r>
        <w:rPr>
          <w:color w:val="414042"/>
          <w:spacing w:val="12"/>
        </w:rPr>
        <w:t xml:space="preserve"> </w:t>
      </w:r>
      <w:r>
        <w:rPr>
          <w:color w:val="414042"/>
        </w:rPr>
        <w:t>support</w:t>
      </w:r>
      <w:r>
        <w:rPr>
          <w:color w:val="414042"/>
          <w:spacing w:val="12"/>
        </w:rPr>
        <w:t xml:space="preserve"> </w:t>
      </w:r>
      <w:r>
        <w:rPr>
          <w:color w:val="414042"/>
        </w:rPr>
        <w:t>network</w:t>
      </w:r>
      <w:r>
        <w:rPr>
          <w:color w:val="414042"/>
          <w:spacing w:val="12"/>
        </w:rPr>
        <w:t xml:space="preserve"> </w:t>
      </w:r>
      <w:r>
        <w:rPr>
          <w:color w:val="414042"/>
        </w:rPr>
        <w:t>to</w:t>
      </w:r>
      <w:r>
        <w:rPr>
          <w:color w:val="414042"/>
          <w:spacing w:val="12"/>
        </w:rPr>
        <w:t xml:space="preserve"> </w:t>
      </w:r>
      <w:r>
        <w:rPr>
          <w:color w:val="414042"/>
        </w:rPr>
        <w:t>build</w:t>
      </w:r>
      <w:r>
        <w:rPr>
          <w:color w:val="414042"/>
          <w:spacing w:val="12"/>
        </w:rPr>
        <w:t xml:space="preserve"> </w:t>
      </w:r>
      <w:r>
        <w:rPr>
          <w:color w:val="414042"/>
        </w:rPr>
        <w:t>an</w:t>
      </w:r>
      <w:r>
        <w:rPr>
          <w:color w:val="414042"/>
          <w:spacing w:val="12"/>
        </w:rPr>
        <w:t xml:space="preserve"> </w:t>
      </w:r>
      <w:r>
        <w:rPr>
          <w:color w:val="414042"/>
        </w:rPr>
        <w:t>individualized</w:t>
      </w:r>
      <w:r>
        <w:rPr>
          <w:color w:val="414042"/>
          <w:spacing w:val="12"/>
        </w:rPr>
        <w:t xml:space="preserve"> </w:t>
      </w:r>
      <w:r>
        <w:rPr>
          <w:color w:val="414042"/>
        </w:rPr>
        <w:t>plan</w:t>
      </w:r>
      <w:r>
        <w:rPr>
          <w:color w:val="414042"/>
          <w:spacing w:val="12"/>
        </w:rPr>
        <w:t xml:space="preserve"> </w:t>
      </w:r>
      <w:r>
        <w:rPr>
          <w:color w:val="414042"/>
        </w:rPr>
        <w:t>of care</w:t>
      </w:r>
      <w:r>
        <w:rPr>
          <w:color w:val="414042"/>
          <w:spacing w:val="-7"/>
        </w:rPr>
        <w:t xml:space="preserve"> </w:t>
      </w:r>
      <w:r>
        <w:rPr>
          <w:color w:val="414042"/>
        </w:rPr>
        <w:t>that</w:t>
      </w:r>
      <w:r>
        <w:rPr>
          <w:color w:val="414042"/>
          <w:spacing w:val="-7"/>
        </w:rPr>
        <w:t xml:space="preserve"> </w:t>
      </w:r>
      <w:r>
        <w:rPr>
          <w:color w:val="414042"/>
        </w:rPr>
        <w:t>incorporates</w:t>
      </w:r>
      <w:r>
        <w:rPr>
          <w:color w:val="414042"/>
          <w:spacing w:val="-7"/>
        </w:rPr>
        <w:t xml:space="preserve"> </w:t>
      </w:r>
      <w:r>
        <w:rPr>
          <w:color w:val="414042"/>
        </w:rPr>
        <w:t>formal</w:t>
      </w:r>
      <w:r>
        <w:rPr>
          <w:color w:val="414042"/>
          <w:spacing w:val="-7"/>
        </w:rPr>
        <w:t xml:space="preserve"> </w:t>
      </w:r>
      <w:r>
        <w:rPr>
          <w:color w:val="414042"/>
        </w:rPr>
        <w:t>services</w:t>
      </w:r>
      <w:r>
        <w:rPr>
          <w:color w:val="414042"/>
          <w:spacing w:val="-7"/>
        </w:rPr>
        <w:t xml:space="preserve"> </w:t>
      </w:r>
      <w:r>
        <w:rPr>
          <w:color w:val="414042"/>
        </w:rPr>
        <w:t>as</w:t>
      </w:r>
      <w:r>
        <w:rPr>
          <w:color w:val="414042"/>
          <w:spacing w:val="-7"/>
        </w:rPr>
        <w:t xml:space="preserve"> </w:t>
      </w:r>
      <w:r>
        <w:rPr>
          <w:color w:val="414042"/>
        </w:rPr>
        <w:t>well</w:t>
      </w:r>
      <w:r>
        <w:rPr>
          <w:color w:val="414042"/>
          <w:spacing w:val="-7"/>
        </w:rPr>
        <w:t xml:space="preserve"> </w:t>
      </w:r>
      <w:r>
        <w:rPr>
          <w:color w:val="414042"/>
        </w:rPr>
        <w:t>as</w:t>
      </w:r>
      <w:r>
        <w:rPr>
          <w:color w:val="414042"/>
          <w:spacing w:val="-7"/>
        </w:rPr>
        <w:t xml:space="preserve"> </w:t>
      </w:r>
      <w:r>
        <w:rPr>
          <w:color w:val="414042"/>
        </w:rPr>
        <w:t>natural supports</w:t>
      </w:r>
      <w:r>
        <w:rPr>
          <w:color w:val="414042"/>
          <w:spacing w:val="-6"/>
        </w:rPr>
        <w:t xml:space="preserve"> </w:t>
      </w:r>
      <w:r>
        <w:rPr>
          <w:color w:val="414042"/>
        </w:rPr>
        <w:t>and</w:t>
      </w:r>
      <w:r>
        <w:rPr>
          <w:color w:val="414042"/>
          <w:spacing w:val="-6"/>
        </w:rPr>
        <w:t xml:space="preserve"> </w:t>
      </w:r>
      <w:r>
        <w:rPr>
          <w:color w:val="414042"/>
        </w:rPr>
        <w:t>responds</w:t>
      </w:r>
      <w:r>
        <w:rPr>
          <w:color w:val="414042"/>
          <w:spacing w:val="-6"/>
        </w:rPr>
        <w:t xml:space="preserve"> </w:t>
      </w:r>
      <w:r>
        <w:rPr>
          <w:color w:val="414042"/>
        </w:rPr>
        <w:t>to</w:t>
      </w:r>
      <w:r>
        <w:rPr>
          <w:color w:val="414042"/>
          <w:spacing w:val="-6"/>
        </w:rPr>
        <w:t xml:space="preserve"> </w:t>
      </w:r>
      <w:r>
        <w:rPr>
          <w:color w:val="414042"/>
        </w:rPr>
        <w:t>the</w:t>
      </w:r>
      <w:r>
        <w:rPr>
          <w:color w:val="414042"/>
          <w:spacing w:val="-6"/>
        </w:rPr>
        <w:t xml:space="preserve"> </w:t>
      </w:r>
      <w:r>
        <w:rPr>
          <w:color w:val="414042"/>
        </w:rPr>
        <w:t>unique</w:t>
      </w:r>
      <w:r>
        <w:rPr>
          <w:color w:val="414042"/>
          <w:spacing w:val="-6"/>
        </w:rPr>
        <w:t xml:space="preserve"> </w:t>
      </w:r>
      <w:r>
        <w:rPr>
          <w:color w:val="414042"/>
        </w:rPr>
        <w:t>needs</w:t>
      </w:r>
      <w:r>
        <w:rPr>
          <w:color w:val="414042"/>
          <w:spacing w:val="-6"/>
        </w:rPr>
        <w:t xml:space="preserve"> </w:t>
      </w:r>
      <w:r>
        <w:rPr>
          <w:color w:val="414042"/>
        </w:rPr>
        <w:t>of</w:t>
      </w:r>
      <w:r>
        <w:rPr>
          <w:color w:val="414042"/>
          <w:spacing w:val="-6"/>
        </w:rPr>
        <w:t xml:space="preserve"> </w:t>
      </w:r>
      <w:r>
        <w:rPr>
          <w:color w:val="414042"/>
        </w:rPr>
        <w:t>the</w:t>
      </w:r>
      <w:r>
        <w:rPr>
          <w:color w:val="414042"/>
          <w:spacing w:val="-6"/>
        </w:rPr>
        <w:t xml:space="preserve"> </w:t>
      </w:r>
      <w:r>
        <w:rPr>
          <w:color w:val="414042"/>
        </w:rPr>
        <w:t>child and family. A dedicated care coordinator trained in fidelity Wraparound works with the child and family at home and in the community and ensures that</w:t>
      </w:r>
      <w:r>
        <w:rPr>
          <w:color w:val="414042"/>
          <w:spacing w:val="10"/>
        </w:rPr>
        <w:t xml:space="preserve"> </w:t>
      </w:r>
      <w:r>
        <w:rPr>
          <w:color w:val="414042"/>
        </w:rPr>
        <w:t>the</w:t>
      </w:r>
      <w:r>
        <w:rPr>
          <w:color w:val="414042"/>
          <w:spacing w:val="5"/>
        </w:rPr>
        <w:t xml:space="preserve"> </w:t>
      </w:r>
      <w:r>
        <w:rPr>
          <w:color w:val="414042"/>
        </w:rPr>
        <w:t>plan of care is being implemented and that the</w:t>
      </w:r>
      <w:r>
        <w:rPr>
          <w:color w:val="414042"/>
          <w:spacing w:val="10"/>
        </w:rPr>
        <w:t xml:space="preserve"> </w:t>
      </w:r>
      <w:r>
        <w:rPr>
          <w:color w:val="414042"/>
        </w:rPr>
        <w:t>family</w:t>
      </w:r>
      <w:r>
        <w:rPr>
          <w:color w:val="414042"/>
          <w:spacing w:val="5"/>
        </w:rPr>
        <w:t xml:space="preserve"> </w:t>
      </w:r>
      <w:r>
        <w:rPr>
          <w:color w:val="414042"/>
        </w:rPr>
        <w:t>finds the services and supports helpful.</w:t>
      </w:r>
    </w:p>
    <w:p w:rsidR="007E59EF" w:rsidRDefault="009740A5">
      <w:pPr>
        <w:pStyle w:val="BodyText"/>
        <w:spacing w:before="169" w:line="314" w:lineRule="auto"/>
        <w:ind w:left="1080"/>
        <w:jc w:val="both"/>
      </w:pPr>
      <w:r>
        <w:rPr>
          <w:color w:val="414042"/>
        </w:rPr>
        <w:t>Care coordinator to family ratios are small (typically,</w:t>
      </w:r>
      <w:r>
        <w:rPr>
          <w:color w:val="414042"/>
          <w:spacing w:val="-19"/>
        </w:rPr>
        <w:t xml:space="preserve"> </w:t>
      </w:r>
      <w:r>
        <w:rPr>
          <w:color w:val="414042"/>
        </w:rPr>
        <w:t>no more than 1:10), and care coordinators receive close clinical supervision and coaching. The child and family team continues to meet regularly to</w:t>
      </w:r>
      <w:r>
        <w:rPr>
          <w:color w:val="414042"/>
          <w:spacing w:val="13"/>
        </w:rPr>
        <w:t xml:space="preserve"> </w:t>
      </w:r>
      <w:r>
        <w:rPr>
          <w:color w:val="414042"/>
        </w:rPr>
        <w:t>monitor</w:t>
      </w:r>
      <w:r>
        <w:rPr>
          <w:color w:val="414042"/>
          <w:spacing w:val="10"/>
        </w:rPr>
        <w:t xml:space="preserve"> </w:t>
      </w:r>
      <w:r>
        <w:rPr>
          <w:color w:val="414042"/>
        </w:rPr>
        <w:t>progress and adjust the plan as necessary. The team continues its work until members reach a consensus based</w:t>
      </w:r>
      <w:r>
        <w:rPr>
          <w:color w:val="414042"/>
          <w:spacing w:val="5"/>
        </w:rPr>
        <w:t xml:space="preserve"> </w:t>
      </w:r>
      <w:r>
        <w:rPr>
          <w:color w:val="414042"/>
        </w:rPr>
        <w:t>on</w:t>
      </w:r>
    </w:p>
    <w:p w:rsidR="007E59EF" w:rsidRDefault="009740A5">
      <w:pPr>
        <w:pStyle w:val="BodyText"/>
        <w:spacing w:before="95"/>
        <w:ind w:left="319"/>
      </w:pPr>
      <w:r>
        <w:br w:type="column"/>
      </w:r>
      <w:r>
        <w:rPr>
          <w:color w:val="414042"/>
        </w:rPr>
        <w:t>progress monitoring data that a formal Wraparound</w:t>
      </w:r>
    </w:p>
    <w:p w:rsidR="007E59EF" w:rsidRDefault="009740A5">
      <w:pPr>
        <w:pStyle w:val="BodyText"/>
        <w:spacing w:before="70"/>
        <w:ind w:left="319"/>
      </w:pPr>
      <w:r>
        <w:rPr>
          <w:color w:val="414042"/>
        </w:rPr>
        <w:t>care coordination process is no longer needed.</w:t>
      </w:r>
    </w:p>
    <w:p w:rsidR="007E59EF" w:rsidRDefault="007E59EF">
      <w:pPr>
        <w:pStyle w:val="BodyText"/>
        <w:spacing w:before="4"/>
        <w:rPr>
          <w:sz w:val="26"/>
        </w:rPr>
      </w:pPr>
    </w:p>
    <w:p w:rsidR="007E59EF" w:rsidRDefault="009740A5">
      <w:pPr>
        <w:pStyle w:val="Heading3"/>
        <w:spacing w:before="1"/>
        <w:ind w:left="319"/>
      </w:pPr>
      <w:r>
        <w:rPr>
          <w:color w:val="517489"/>
        </w:rPr>
        <w:t>Other Known Names</w:t>
      </w:r>
    </w:p>
    <w:p w:rsidR="007E59EF" w:rsidRDefault="009740A5">
      <w:pPr>
        <w:spacing w:before="145" w:line="314" w:lineRule="auto"/>
        <w:ind w:left="319" w:right="1077"/>
        <w:jc w:val="both"/>
        <w:rPr>
          <w:sz w:val="20"/>
        </w:rPr>
      </w:pPr>
      <w:r>
        <w:rPr>
          <w:color w:val="414042"/>
          <w:sz w:val="20"/>
        </w:rPr>
        <w:t xml:space="preserve">The </w:t>
      </w:r>
      <w:r>
        <w:rPr>
          <w:i/>
          <w:color w:val="414042"/>
          <w:sz w:val="20"/>
        </w:rPr>
        <w:t xml:space="preserve">Intensive Care Coordination Using High-Fidelity Wraparound </w:t>
      </w:r>
      <w:r>
        <w:rPr>
          <w:color w:val="414042"/>
          <w:sz w:val="20"/>
        </w:rPr>
        <w:t xml:space="preserve">model supported by NWIC and that we are recommending for review is based on Wraparound practices that have been written about in published literature since the early 1990s. The  practice  has  been referred to variously over the years, including </w:t>
      </w:r>
      <w:r>
        <w:rPr>
          <w:i/>
          <w:color w:val="414042"/>
          <w:sz w:val="20"/>
        </w:rPr>
        <w:t>Wraparound, the Wraparound process, Wraparound ap- proach, Wraparound services, intensive care</w:t>
      </w:r>
      <w:r>
        <w:rPr>
          <w:i/>
          <w:color w:val="414042"/>
          <w:spacing w:val="-23"/>
          <w:sz w:val="20"/>
        </w:rPr>
        <w:t xml:space="preserve"> </w:t>
      </w:r>
      <w:r>
        <w:rPr>
          <w:i/>
          <w:color w:val="414042"/>
          <w:sz w:val="20"/>
        </w:rPr>
        <w:t>coordination, individualized and tailored care</w:t>
      </w:r>
      <w:r>
        <w:rPr>
          <w:color w:val="414042"/>
          <w:sz w:val="20"/>
        </w:rPr>
        <w:t>, and others. Variation in Wraparound practice models, terminology, and level</w:t>
      </w:r>
      <w:r>
        <w:rPr>
          <w:color w:val="414042"/>
          <w:spacing w:val="-23"/>
          <w:sz w:val="20"/>
        </w:rPr>
        <w:t xml:space="preserve"> </w:t>
      </w:r>
      <w:r>
        <w:rPr>
          <w:color w:val="414042"/>
          <w:sz w:val="20"/>
        </w:rPr>
        <w:t>of implementation support arose in part due to the lack of proprietary ownership of the model, which allowed for its broad dissemination into real world settings,</w:t>
      </w:r>
      <w:r>
        <w:rPr>
          <w:color w:val="414042"/>
          <w:spacing w:val="-24"/>
          <w:sz w:val="20"/>
        </w:rPr>
        <w:t xml:space="preserve"> </w:t>
      </w:r>
      <w:r>
        <w:rPr>
          <w:color w:val="414042"/>
          <w:sz w:val="20"/>
        </w:rPr>
        <w:t>but also led to a lack of quality control.</w:t>
      </w:r>
    </w:p>
    <w:p w:rsidR="007E59EF" w:rsidRDefault="009740A5">
      <w:pPr>
        <w:pStyle w:val="BodyText"/>
        <w:spacing w:before="165" w:line="314" w:lineRule="auto"/>
        <w:ind w:left="319" w:right="1077"/>
        <w:jc w:val="both"/>
      </w:pPr>
      <w:r>
        <w:rPr>
          <w:color w:val="414042"/>
        </w:rPr>
        <w:t xml:space="preserve">Since 2012 however, </w:t>
      </w:r>
      <w:r>
        <w:rPr>
          <w:i/>
          <w:color w:val="414042"/>
        </w:rPr>
        <w:t xml:space="preserve">Intensive Care Coordination Using High-Fidelity Wraparound </w:t>
      </w:r>
      <w:r>
        <w:rPr>
          <w:color w:val="414042"/>
        </w:rPr>
        <w:t>has been fully explicated with respect to phases and activities of the practice model as well as necessary program and system supports, in- cluding training, coaching, and technical assistance</w:t>
      </w:r>
      <w:r>
        <w:rPr>
          <w:color w:val="414042"/>
          <w:spacing w:val="-28"/>
        </w:rPr>
        <w:t xml:space="preserve"> </w:t>
      </w:r>
      <w:r>
        <w:rPr>
          <w:color w:val="414042"/>
          <w:spacing w:val="-3"/>
        </w:rPr>
        <w:t xml:space="preserve">(TA) </w:t>
      </w:r>
      <w:r>
        <w:rPr>
          <w:color w:val="414042"/>
        </w:rPr>
        <w:t>regarding installation and sustainment of the model. This definitional work was initially spearheaded by the National Wraparound Initiative (NWI) at Portland State University</w:t>
      </w:r>
      <w:r>
        <w:rPr>
          <w:color w:val="414042"/>
          <w:spacing w:val="-1"/>
        </w:rPr>
        <w:t xml:space="preserve"> </w:t>
      </w:r>
      <w:r>
        <w:rPr>
          <w:color w:val="414042"/>
        </w:rPr>
        <w:t>(</w:t>
      </w:r>
      <w:hyperlink r:id="rId10">
        <w:r>
          <w:rPr>
            <w:color w:val="517489"/>
            <w:u w:val="single" w:color="517489"/>
          </w:rPr>
          <w:t>https://nwi.pdx.edu</w:t>
        </w:r>
      </w:hyperlink>
      <w:r>
        <w:rPr>
          <w:color w:val="414042"/>
        </w:rPr>
        <w:t>).</w:t>
      </w:r>
    </w:p>
    <w:p w:rsidR="007E59EF" w:rsidRDefault="007E59EF">
      <w:pPr>
        <w:spacing w:line="314" w:lineRule="auto"/>
        <w:jc w:val="both"/>
        <w:sectPr w:rsidR="007E59EF">
          <w:type w:val="continuous"/>
          <w:pgSz w:w="12240" w:h="15840"/>
          <w:pgMar w:top="0" w:right="0" w:bottom="780" w:left="0" w:header="720" w:footer="720" w:gutter="0"/>
          <w:cols w:num="2" w:space="720" w:equalWidth="0">
            <w:col w:w="5941" w:space="40"/>
            <w:col w:w="6259"/>
          </w:cols>
        </w:sectPr>
      </w:pPr>
    </w:p>
    <w:p w:rsidR="007E59EF" w:rsidRDefault="009740A5">
      <w:pPr>
        <w:spacing w:before="68" w:line="314" w:lineRule="auto"/>
        <w:ind w:left="1080"/>
        <w:jc w:val="both"/>
        <w:rPr>
          <w:sz w:val="20"/>
        </w:rPr>
      </w:pPr>
      <w:r>
        <w:rPr>
          <w:color w:val="414042"/>
          <w:sz w:val="20"/>
        </w:rPr>
        <w:lastRenderedPageBreak/>
        <w:t xml:space="preserve">Because of the many names that have been used to describe variants of this kind of care coordination for youth with complex needs, we suggest that the </w:t>
      </w:r>
      <w:r>
        <w:rPr>
          <w:i/>
          <w:color w:val="414042"/>
          <w:sz w:val="20"/>
        </w:rPr>
        <w:t xml:space="preserve">Title IV-E Clearinghouse </w:t>
      </w:r>
      <w:r>
        <w:rPr>
          <w:color w:val="414042"/>
          <w:sz w:val="20"/>
        </w:rPr>
        <w:t xml:space="preserve">refer to the model nominated here as </w:t>
      </w:r>
      <w:r>
        <w:rPr>
          <w:i/>
          <w:color w:val="414042"/>
          <w:sz w:val="20"/>
        </w:rPr>
        <w:t xml:space="preserve">“Intensive Care Coordination Using High-Fidelity Wrap- around.” </w:t>
      </w:r>
      <w:r>
        <w:rPr>
          <w:color w:val="414042"/>
          <w:sz w:val="20"/>
        </w:rPr>
        <w:t>This will ensure that states seeking to use this</w:t>
      </w:r>
    </w:p>
    <w:p w:rsidR="007E59EF" w:rsidRDefault="009740A5">
      <w:pPr>
        <w:pStyle w:val="BodyText"/>
        <w:spacing w:before="68" w:line="314" w:lineRule="auto"/>
        <w:ind w:left="319" w:right="1077"/>
        <w:jc w:val="both"/>
      </w:pPr>
      <w:r>
        <w:br w:type="column"/>
      </w:r>
      <w:r>
        <w:rPr>
          <w:color w:val="414042"/>
        </w:rPr>
        <w:t>care coordination strategy under FFPSA are deploy- ing the research-based version of Wraparound care coordination that is aligned with the research studies presented in this submission, and are supported by intensive and structured implementation strategies, examples of which are also provided in this</w:t>
      </w:r>
      <w:r>
        <w:rPr>
          <w:color w:val="414042"/>
          <w:spacing w:val="-24"/>
        </w:rPr>
        <w:t xml:space="preserve"> </w:t>
      </w:r>
      <w:r>
        <w:rPr>
          <w:color w:val="414042"/>
        </w:rPr>
        <w:t>submission.</w:t>
      </w:r>
    </w:p>
    <w:p w:rsidR="007E59EF" w:rsidRDefault="007E59EF">
      <w:pPr>
        <w:spacing w:line="314" w:lineRule="auto"/>
        <w:jc w:val="both"/>
        <w:sectPr w:rsidR="007E59EF">
          <w:pgSz w:w="12240" w:h="15840"/>
          <w:pgMar w:top="860" w:right="0" w:bottom="780" w:left="0" w:header="0" w:footer="580" w:gutter="0"/>
          <w:cols w:num="2" w:space="720" w:equalWidth="0">
            <w:col w:w="5941" w:space="40"/>
            <w:col w:w="6259"/>
          </w:cols>
        </w:sectPr>
      </w:pPr>
    </w:p>
    <w:p w:rsidR="007E59EF" w:rsidRDefault="007E59EF">
      <w:pPr>
        <w:pStyle w:val="BodyText"/>
        <w:spacing w:before="5"/>
        <w:rPr>
          <w:sz w:val="24"/>
        </w:rPr>
      </w:pPr>
    </w:p>
    <w:p w:rsidR="007E59EF" w:rsidRDefault="009740A5">
      <w:pPr>
        <w:pStyle w:val="BodyText"/>
        <w:spacing w:before="95"/>
        <w:ind w:left="1082"/>
      </w:pPr>
      <w:r>
        <w:rPr>
          <w:color w:val="414042"/>
        </w:rPr>
        <w:t>From the Clearinghouse call for nominations:</w:t>
      </w:r>
    </w:p>
    <w:p w:rsidR="007E59EF" w:rsidRDefault="007E59EF">
      <w:pPr>
        <w:pStyle w:val="BodyText"/>
        <w:spacing w:before="3"/>
        <w:rPr>
          <w:sz w:val="18"/>
        </w:rPr>
      </w:pPr>
    </w:p>
    <w:p w:rsidR="007E59EF" w:rsidRDefault="009740A5">
      <w:pPr>
        <w:pStyle w:val="Heading5"/>
        <w:spacing w:line="285" w:lineRule="auto"/>
        <w:ind w:right="1034"/>
      </w:pPr>
      <w:r>
        <w:rPr>
          <w:color w:val="3E6A80"/>
        </w:rPr>
        <w:t>Program or service area(s) addressed: Specify: [1] mental health prevention and treatment programs or services, [2] substance abuse prevention and treatment programs or services,</w:t>
      </w:r>
    </w:p>
    <w:p w:rsidR="007E59EF" w:rsidRDefault="009740A5">
      <w:pPr>
        <w:spacing w:line="251" w:lineRule="exact"/>
        <w:ind w:left="1713"/>
        <w:rPr>
          <w:rFonts w:ascii="Ubuntu"/>
          <w:i/>
        </w:rPr>
      </w:pPr>
      <w:r>
        <w:rPr>
          <w:rFonts w:ascii="Ubuntu"/>
          <w:i/>
          <w:color w:val="3E6A80"/>
        </w:rPr>
        <w:t>[3] in-home parent skill-based programs or services, and/or [4] kinship navigator programs.</w:t>
      </w:r>
    </w:p>
    <w:p w:rsidR="007E59EF" w:rsidRDefault="007E59EF">
      <w:pPr>
        <w:pStyle w:val="BodyText"/>
        <w:rPr>
          <w:rFonts w:ascii="Ubuntu"/>
          <w:i/>
        </w:rPr>
      </w:pPr>
    </w:p>
    <w:p w:rsidR="007E59EF" w:rsidRDefault="007E59EF">
      <w:pPr>
        <w:pStyle w:val="BodyText"/>
        <w:spacing w:before="5"/>
        <w:rPr>
          <w:rFonts w:ascii="Ubuntu"/>
          <w:i/>
        </w:rPr>
      </w:pPr>
    </w:p>
    <w:p w:rsidR="007E59EF" w:rsidRDefault="007E59EF">
      <w:pPr>
        <w:rPr>
          <w:rFonts w:ascii="Ubuntu"/>
        </w:rPr>
        <w:sectPr w:rsidR="007E59EF">
          <w:type w:val="continuous"/>
          <w:pgSz w:w="12240" w:h="15840"/>
          <w:pgMar w:top="0" w:right="0" w:bottom="780" w:left="0" w:header="720" w:footer="720" w:gutter="0"/>
          <w:cols w:space="720"/>
        </w:sectPr>
      </w:pPr>
    </w:p>
    <w:p w:rsidR="007E59EF" w:rsidRDefault="009740A5">
      <w:pPr>
        <w:spacing w:before="94" w:line="314" w:lineRule="auto"/>
        <w:ind w:left="1080"/>
        <w:jc w:val="both"/>
        <w:rPr>
          <w:sz w:val="20"/>
        </w:rPr>
      </w:pPr>
      <w:r>
        <w:rPr>
          <w:i/>
          <w:color w:val="414042"/>
          <w:sz w:val="20"/>
        </w:rPr>
        <w:t xml:space="preserve">Intensive Care Coordination Using High-Fidelity Wrap- around </w:t>
      </w:r>
      <w:r>
        <w:rPr>
          <w:color w:val="414042"/>
          <w:sz w:val="20"/>
        </w:rPr>
        <w:t>fits  in  two  of  the  four  program/service  areas</w:t>
      </w:r>
      <w:r>
        <w:rPr>
          <w:color w:val="414042"/>
          <w:spacing w:val="32"/>
          <w:sz w:val="20"/>
        </w:rPr>
        <w:t xml:space="preserve"> </w:t>
      </w:r>
      <w:r>
        <w:rPr>
          <w:color w:val="414042"/>
          <w:sz w:val="20"/>
        </w:rPr>
        <w:t>covered</w:t>
      </w:r>
      <w:r>
        <w:rPr>
          <w:color w:val="414042"/>
          <w:spacing w:val="32"/>
          <w:sz w:val="20"/>
        </w:rPr>
        <w:t xml:space="preserve"> </w:t>
      </w:r>
      <w:r>
        <w:rPr>
          <w:color w:val="414042"/>
          <w:sz w:val="20"/>
        </w:rPr>
        <w:t>by</w:t>
      </w:r>
      <w:r>
        <w:rPr>
          <w:color w:val="414042"/>
          <w:spacing w:val="32"/>
          <w:sz w:val="20"/>
        </w:rPr>
        <w:t xml:space="preserve"> </w:t>
      </w:r>
      <w:r>
        <w:rPr>
          <w:color w:val="414042"/>
          <w:sz w:val="20"/>
        </w:rPr>
        <w:t>the</w:t>
      </w:r>
      <w:r>
        <w:rPr>
          <w:color w:val="414042"/>
          <w:spacing w:val="32"/>
          <w:sz w:val="20"/>
        </w:rPr>
        <w:t xml:space="preserve"> </w:t>
      </w:r>
      <w:r>
        <w:rPr>
          <w:color w:val="414042"/>
          <w:sz w:val="20"/>
        </w:rPr>
        <w:t>federal</w:t>
      </w:r>
      <w:r>
        <w:rPr>
          <w:color w:val="414042"/>
          <w:spacing w:val="32"/>
          <w:sz w:val="20"/>
        </w:rPr>
        <w:t xml:space="preserve"> </w:t>
      </w:r>
      <w:r>
        <w:rPr>
          <w:i/>
          <w:color w:val="414042"/>
          <w:sz w:val="20"/>
        </w:rPr>
        <w:t>Title</w:t>
      </w:r>
      <w:r>
        <w:rPr>
          <w:i/>
          <w:color w:val="414042"/>
          <w:spacing w:val="32"/>
          <w:sz w:val="20"/>
        </w:rPr>
        <w:t xml:space="preserve"> </w:t>
      </w:r>
      <w:r>
        <w:rPr>
          <w:i/>
          <w:color w:val="414042"/>
          <w:sz w:val="20"/>
        </w:rPr>
        <w:t>IV-E</w:t>
      </w:r>
      <w:r>
        <w:rPr>
          <w:i/>
          <w:color w:val="414042"/>
          <w:spacing w:val="32"/>
          <w:sz w:val="20"/>
        </w:rPr>
        <w:t xml:space="preserve"> </w:t>
      </w:r>
      <w:r>
        <w:rPr>
          <w:i/>
          <w:color w:val="414042"/>
          <w:sz w:val="20"/>
        </w:rPr>
        <w:t>Clearinghouse</w:t>
      </w:r>
      <w:r>
        <w:rPr>
          <w:color w:val="414042"/>
          <w:sz w:val="20"/>
        </w:rPr>
        <w:t>.</w:t>
      </w:r>
    </w:p>
    <w:p w:rsidR="007E59EF" w:rsidRDefault="009740A5">
      <w:pPr>
        <w:pStyle w:val="BodyText"/>
        <w:spacing w:before="94"/>
        <w:ind w:left="319"/>
      </w:pPr>
      <w:r>
        <w:br w:type="column"/>
      </w:r>
      <w:r>
        <w:rPr>
          <w:color w:val="414042"/>
        </w:rPr>
        <w:t>Specifically:</w:t>
      </w:r>
    </w:p>
    <w:p w:rsidR="007E59EF" w:rsidRDefault="009740A5">
      <w:pPr>
        <w:pStyle w:val="BodyText"/>
        <w:spacing w:before="115"/>
        <w:ind w:left="319"/>
      </w:pPr>
      <w:r>
        <w:rPr>
          <w:rFonts w:ascii="Myriad Pro" w:hAnsi="Myriad Pro"/>
          <w:color w:val="414042"/>
          <w:sz w:val="25"/>
        </w:rPr>
        <w:t xml:space="preserve">» </w:t>
      </w:r>
      <w:r>
        <w:rPr>
          <w:color w:val="414042"/>
        </w:rPr>
        <w:t>Mental health treatment programs, and</w:t>
      </w:r>
    </w:p>
    <w:p w:rsidR="007E59EF" w:rsidRDefault="009740A5">
      <w:pPr>
        <w:pStyle w:val="BodyText"/>
        <w:spacing w:before="89"/>
        <w:ind w:left="319"/>
      </w:pPr>
      <w:r>
        <w:rPr>
          <w:rFonts w:ascii="Myriad Pro" w:hAnsi="Myriad Pro"/>
          <w:color w:val="414042"/>
          <w:sz w:val="25"/>
        </w:rPr>
        <w:t xml:space="preserve">» </w:t>
      </w:r>
      <w:r>
        <w:rPr>
          <w:color w:val="414042"/>
        </w:rPr>
        <w:t>In-home parent skill-based programs or services</w:t>
      </w:r>
    </w:p>
    <w:p w:rsidR="007E59EF" w:rsidRDefault="007E59EF">
      <w:pPr>
        <w:sectPr w:rsidR="007E59EF">
          <w:type w:val="continuous"/>
          <w:pgSz w:w="12240" w:h="15840"/>
          <w:pgMar w:top="0" w:right="0" w:bottom="780" w:left="0" w:header="720" w:footer="720" w:gutter="0"/>
          <w:cols w:num="2" w:space="720" w:equalWidth="0">
            <w:col w:w="5941" w:space="40"/>
            <w:col w:w="6259"/>
          </w:cols>
        </w:sectPr>
      </w:pPr>
    </w:p>
    <w:p w:rsidR="007E59EF" w:rsidRDefault="007E59EF">
      <w:pPr>
        <w:pStyle w:val="BodyText"/>
        <w:spacing w:before="1"/>
        <w:rPr>
          <w:sz w:val="26"/>
        </w:rPr>
      </w:pPr>
    </w:p>
    <w:p w:rsidR="007E59EF" w:rsidRDefault="009740A5">
      <w:pPr>
        <w:pStyle w:val="BodyText"/>
        <w:spacing w:before="95"/>
        <w:ind w:left="1080"/>
      </w:pPr>
      <w:r>
        <w:rPr>
          <w:color w:val="414042"/>
        </w:rPr>
        <w:t>From the Clearinghouse call for nominations:</w:t>
      </w:r>
    </w:p>
    <w:p w:rsidR="007E59EF" w:rsidRDefault="007E59EF">
      <w:pPr>
        <w:pStyle w:val="BodyText"/>
        <w:spacing w:before="1"/>
      </w:pPr>
    </w:p>
    <w:p w:rsidR="007E59EF" w:rsidRDefault="009740A5">
      <w:pPr>
        <w:pStyle w:val="Heading5"/>
        <w:spacing w:line="285" w:lineRule="auto"/>
        <w:ind w:right="2010"/>
      </w:pPr>
      <w:r>
        <w:rPr>
          <w:color w:val="3E6A80"/>
        </w:rPr>
        <w:t>Evidence indicating that program or service is clearly defined and replicable: Please provide information about how the public can access written protocols, manuals, or other documentation that describes how to implement or administer the practice. This may include a copy of the material(s), a link, or information about where to download or purchase the material(s).</w:t>
      </w:r>
    </w:p>
    <w:p w:rsidR="007E59EF" w:rsidRDefault="007E59EF">
      <w:pPr>
        <w:pStyle w:val="BodyText"/>
        <w:rPr>
          <w:rFonts w:ascii="Ubuntu"/>
          <w:i/>
        </w:rPr>
      </w:pPr>
    </w:p>
    <w:p w:rsidR="007E59EF" w:rsidRDefault="007E59EF">
      <w:pPr>
        <w:rPr>
          <w:rFonts w:ascii="Ubuntu"/>
        </w:rPr>
        <w:sectPr w:rsidR="007E59EF">
          <w:type w:val="continuous"/>
          <w:pgSz w:w="12240" w:h="15840"/>
          <w:pgMar w:top="0" w:right="0" w:bottom="780" w:left="0" w:header="720" w:footer="720" w:gutter="0"/>
          <w:cols w:space="720"/>
        </w:sectPr>
      </w:pPr>
    </w:p>
    <w:p w:rsidR="007E59EF" w:rsidRDefault="007E59EF">
      <w:pPr>
        <w:pStyle w:val="BodyText"/>
        <w:spacing w:before="5"/>
        <w:rPr>
          <w:rFonts w:ascii="Ubuntu"/>
          <w:i/>
          <w:sz w:val="22"/>
        </w:rPr>
      </w:pPr>
    </w:p>
    <w:p w:rsidR="007E59EF" w:rsidRDefault="009740A5">
      <w:pPr>
        <w:spacing w:before="1" w:line="314" w:lineRule="auto"/>
        <w:ind w:left="1082"/>
        <w:jc w:val="both"/>
        <w:rPr>
          <w:sz w:val="20"/>
        </w:rPr>
      </w:pPr>
      <w:r>
        <w:rPr>
          <w:i/>
          <w:color w:val="414042"/>
          <w:sz w:val="20"/>
        </w:rPr>
        <w:t xml:space="preserve">Intensive Care Coordination Using High-Fidelity Wrapa- round </w:t>
      </w:r>
      <w:r>
        <w:rPr>
          <w:color w:val="414042"/>
          <w:sz w:val="20"/>
        </w:rPr>
        <w:t>is well-explicated, clearly defined, and</w:t>
      </w:r>
      <w:r>
        <w:rPr>
          <w:color w:val="414042"/>
          <w:spacing w:val="-10"/>
          <w:sz w:val="20"/>
        </w:rPr>
        <w:t xml:space="preserve"> </w:t>
      </w:r>
      <w:r>
        <w:rPr>
          <w:color w:val="414042"/>
          <w:sz w:val="20"/>
        </w:rPr>
        <w:t xml:space="preserve">replicable. An overview book, </w:t>
      </w:r>
      <w:r>
        <w:rPr>
          <w:i/>
          <w:color w:val="414042"/>
          <w:sz w:val="20"/>
        </w:rPr>
        <w:t>The Resource Guide to Wraparound</w:t>
      </w:r>
      <w:r>
        <w:rPr>
          <w:color w:val="414042"/>
          <w:sz w:val="20"/>
        </w:rPr>
        <w:t>, is</w:t>
      </w:r>
      <w:r>
        <w:rPr>
          <w:color w:val="414042"/>
          <w:spacing w:val="15"/>
          <w:sz w:val="20"/>
        </w:rPr>
        <w:t xml:space="preserve"> </w:t>
      </w:r>
      <w:r>
        <w:rPr>
          <w:color w:val="414042"/>
          <w:sz w:val="20"/>
        </w:rPr>
        <w:t>available</w:t>
      </w:r>
      <w:r>
        <w:rPr>
          <w:color w:val="414042"/>
          <w:spacing w:val="15"/>
          <w:sz w:val="20"/>
        </w:rPr>
        <w:t xml:space="preserve"> </w:t>
      </w:r>
      <w:r>
        <w:rPr>
          <w:color w:val="414042"/>
          <w:sz w:val="20"/>
        </w:rPr>
        <w:t>in</w:t>
      </w:r>
      <w:r>
        <w:rPr>
          <w:color w:val="414042"/>
          <w:spacing w:val="15"/>
          <w:sz w:val="20"/>
        </w:rPr>
        <w:t xml:space="preserve"> </w:t>
      </w:r>
      <w:r>
        <w:rPr>
          <w:color w:val="414042"/>
          <w:sz w:val="20"/>
        </w:rPr>
        <w:t>chapter</w:t>
      </w:r>
      <w:r>
        <w:rPr>
          <w:color w:val="414042"/>
          <w:spacing w:val="15"/>
          <w:sz w:val="20"/>
        </w:rPr>
        <w:t xml:space="preserve"> </w:t>
      </w:r>
      <w:r>
        <w:rPr>
          <w:color w:val="414042"/>
          <w:sz w:val="20"/>
        </w:rPr>
        <w:t>form</w:t>
      </w:r>
      <w:r>
        <w:rPr>
          <w:color w:val="414042"/>
          <w:spacing w:val="15"/>
          <w:sz w:val="20"/>
        </w:rPr>
        <w:t xml:space="preserve"> </w:t>
      </w:r>
      <w:r>
        <w:rPr>
          <w:color w:val="414042"/>
          <w:sz w:val="20"/>
        </w:rPr>
        <w:t>online</w:t>
      </w:r>
      <w:r>
        <w:rPr>
          <w:color w:val="414042"/>
          <w:spacing w:val="15"/>
          <w:sz w:val="20"/>
        </w:rPr>
        <w:t xml:space="preserve"> </w:t>
      </w:r>
      <w:r>
        <w:rPr>
          <w:color w:val="414042"/>
          <w:sz w:val="20"/>
        </w:rPr>
        <w:t>at</w:t>
      </w:r>
      <w:r>
        <w:rPr>
          <w:color w:val="414042"/>
          <w:spacing w:val="15"/>
          <w:sz w:val="20"/>
        </w:rPr>
        <w:t xml:space="preserve"> </w:t>
      </w:r>
      <w:r>
        <w:rPr>
          <w:color w:val="414042"/>
          <w:sz w:val="20"/>
        </w:rPr>
        <w:t>the</w:t>
      </w:r>
      <w:r>
        <w:rPr>
          <w:color w:val="414042"/>
          <w:spacing w:val="15"/>
          <w:sz w:val="20"/>
        </w:rPr>
        <w:t xml:space="preserve"> </w:t>
      </w:r>
      <w:r>
        <w:rPr>
          <w:color w:val="414042"/>
          <w:sz w:val="20"/>
        </w:rPr>
        <w:t>NWI</w:t>
      </w:r>
      <w:r>
        <w:rPr>
          <w:color w:val="414042"/>
          <w:spacing w:val="15"/>
          <w:sz w:val="20"/>
        </w:rPr>
        <w:t xml:space="preserve"> </w:t>
      </w:r>
      <w:r>
        <w:rPr>
          <w:color w:val="414042"/>
          <w:sz w:val="20"/>
        </w:rPr>
        <w:t xml:space="preserve">website at </w:t>
      </w:r>
      <w:hyperlink r:id="rId11">
        <w:r>
          <w:rPr>
            <w:color w:val="517489"/>
            <w:sz w:val="20"/>
            <w:u w:val="single" w:color="517489"/>
          </w:rPr>
          <w:t>https://nwi.pdx.edu/NWI-book/pgBookAndComple-</w:t>
        </w:r>
      </w:hyperlink>
      <w:r>
        <w:rPr>
          <w:color w:val="517489"/>
          <w:sz w:val="20"/>
        </w:rPr>
        <w:t xml:space="preserve"> </w:t>
      </w:r>
      <w:hyperlink r:id="rId12">
        <w:r>
          <w:rPr>
            <w:color w:val="517489"/>
            <w:sz w:val="20"/>
            <w:u w:val="single" w:color="517489"/>
          </w:rPr>
          <w:t>teSections.php</w:t>
        </w:r>
        <w:r>
          <w:rPr>
            <w:color w:val="414042"/>
            <w:sz w:val="20"/>
          </w:rPr>
          <w:t>.</w:t>
        </w:r>
        <w:r>
          <w:rPr>
            <w:color w:val="414042"/>
            <w:position w:val="7"/>
            <w:sz w:val="11"/>
          </w:rPr>
          <w:t>1</w:t>
        </w:r>
      </w:hyperlink>
      <w:r>
        <w:rPr>
          <w:color w:val="414042"/>
          <w:position w:val="7"/>
          <w:sz w:val="11"/>
        </w:rPr>
        <w:t xml:space="preserve"> </w:t>
      </w:r>
      <w:r>
        <w:rPr>
          <w:color w:val="414042"/>
          <w:sz w:val="20"/>
        </w:rPr>
        <w:t>This book includes foundational in- formation about the principles, practice</w:t>
      </w:r>
      <w:r>
        <w:rPr>
          <w:color w:val="414042"/>
          <w:spacing w:val="37"/>
          <w:sz w:val="20"/>
        </w:rPr>
        <w:t xml:space="preserve"> </w:t>
      </w:r>
      <w:r>
        <w:rPr>
          <w:color w:val="414042"/>
          <w:sz w:val="20"/>
        </w:rPr>
        <w:t>model,</w:t>
      </w:r>
      <w:r>
        <w:rPr>
          <w:color w:val="414042"/>
          <w:spacing w:val="6"/>
          <w:sz w:val="20"/>
        </w:rPr>
        <w:t xml:space="preserve"> </w:t>
      </w:r>
      <w:r>
        <w:rPr>
          <w:color w:val="414042"/>
          <w:sz w:val="20"/>
        </w:rPr>
        <w:t>theory of change, necessary implementation supports,</w:t>
      </w:r>
      <w:r>
        <w:rPr>
          <w:color w:val="414042"/>
          <w:spacing w:val="7"/>
          <w:sz w:val="20"/>
        </w:rPr>
        <w:t xml:space="preserve"> </w:t>
      </w:r>
      <w:r>
        <w:rPr>
          <w:color w:val="414042"/>
          <w:sz w:val="20"/>
        </w:rPr>
        <w:t>and</w:t>
      </w:r>
    </w:p>
    <w:p w:rsidR="007E59EF" w:rsidRDefault="009740A5">
      <w:pPr>
        <w:pStyle w:val="BodyText"/>
        <w:spacing w:before="5"/>
        <w:rPr>
          <w:sz w:val="22"/>
        </w:rPr>
      </w:pPr>
      <w:r>
        <w:br w:type="column"/>
      </w:r>
    </w:p>
    <w:p w:rsidR="007E59EF" w:rsidRDefault="009740A5">
      <w:pPr>
        <w:pStyle w:val="BodyText"/>
        <w:spacing w:before="1" w:line="314" w:lineRule="auto"/>
        <w:ind w:left="319" w:right="1075"/>
        <w:jc w:val="both"/>
        <w:rPr>
          <w:sz w:val="11"/>
        </w:rPr>
      </w:pPr>
      <w:r>
        <w:rPr>
          <w:color w:val="414042"/>
        </w:rPr>
        <w:t xml:space="preserve">much more. The NWI website also includes a range of other resources including an </w:t>
      </w:r>
      <w:r>
        <w:rPr>
          <w:i/>
          <w:color w:val="414042"/>
        </w:rPr>
        <w:t>Implementation Guide: A Handbook for Administrators and Managers</w:t>
      </w:r>
      <w:r>
        <w:rPr>
          <w:color w:val="414042"/>
        </w:rPr>
        <w:t xml:space="preserve">,  available at </w:t>
      </w:r>
      <w:hyperlink r:id="rId13">
        <w:r>
          <w:rPr>
            <w:color w:val="517489"/>
            <w:u w:val="single" w:color="517489"/>
          </w:rPr>
          <w:t>https://nwi.pdx.edu/wraparound-implementation-</w:t>
        </w:r>
      </w:hyperlink>
      <w:r>
        <w:rPr>
          <w:color w:val="517489"/>
        </w:rPr>
        <w:t xml:space="preserve"> </w:t>
      </w:r>
      <w:hyperlink r:id="rId14">
        <w:r>
          <w:rPr>
            <w:color w:val="517489"/>
            <w:u w:val="single" w:color="517489"/>
          </w:rPr>
          <w:t>guide</w:t>
        </w:r>
      </w:hyperlink>
      <w:r>
        <w:rPr>
          <w:color w:val="414042"/>
        </w:rPr>
        <w:t>. Also on the website are links to journal articles presenting the results of research-based processes to define the principles and practice that served as the basis for this specific model of</w:t>
      </w:r>
      <w:r>
        <w:rPr>
          <w:color w:val="414042"/>
          <w:spacing w:val="-1"/>
        </w:rPr>
        <w:t xml:space="preserve"> </w:t>
      </w:r>
      <w:r>
        <w:rPr>
          <w:color w:val="414042"/>
        </w:rPr>
        <w:t>Wraparound.</w:t>
      </w:r>
      <w:r>
        <w:rPr>
          <w:color w:val="414042"/>
          <w:position w:val="7"/>
          <w:sz w:val="11"/>
        </w:rPr>
        <w:t>2</w:t>
      </w:r>
    </w:p>
    <w:p w:rsidR="007E59EF" w:rsidRDefault="007E59EF">
      <w:pPr>
        <w:spacing w:line="314" w:lineRule="auto"/>
        <w:jc w:val="both"/>
        <w:rPr>
          <w:sz w:val="11"/>
        </w:rPr>
        <w:sectPr w:rsidR="007E59EF">
          <w:type w:val="continuous"/>
          <w:pgSz w:w="12240" w:h="15840"/>
          <w:pgMar w:top="0" w:right="0" w:bottom="780" w:left="0" w:header="720" w:footer="720" w:gutter="0"/>
          <w:cols w:num="2" w:space="720" w:equalWidth="0">
            <w:col w:w="5943" w:space="40"/>
            <w:col w:w="6257"/>
          </w:cols>
        </w:sectPr>
      </w:pPr>
    </w:p>
    <w:p w:rsidR="007E59EF" w:rsidRDefault="007E59EF">
      <w:pPr>
        <w:pStyle w:val="BodyText"/>
      </w:pPr>
    </w:p>
    <w:p w:rsidR="007E59EF" w:rsidRDefault="007E59EF">
      <w:pPr>
        <w:pStyle w:val="BodyText"/>
      </w:pPr>
    </w:p>
    <w:p w:rsidR="007E59EF" w:rsidRDefault="007E59EF">
      <w:pPr>
        <w:pStyle w:val="BodyText"/>
        <w:spacing w:before="4"/>
        <w:rPr>
          <w:sz w:val="23"/>
        </w:rPr>
      </w:pPr>
    </w:p>
    <w:p w:rsidR="007E59EF" w:rsidRDefault="007B7991">
      <w:pPr>
        <w:pStyle w:val="BodyText"/>
        <w:spacing w:line="20" w:lineRule="exact"/>
        <w:ind w:left="1070"/>
        <w:rPr>
          <w:sz w:val="2"/>
        </w:rPr>
      </w:pPr>
      <w:r>
        <w:rPr>
          <w:sz w:val="2"/>
        </w:rPr>
      </w:r>
      <w:r>
        <w:rPr>
          <w:sz w:val="2"/>
        </w:rPr>
        <w:pict>
          <v:group id="_x0000_s1063" style="width:7in;height:1pt;mso-position-horizontal-relative:char;mso-position-vertical-relative:line" coordsize="10080,20">
            <v:line id="_x0000_s1064" style="position:absolute" from="0,10" to="10080,10" strokecolor="#8dbfd0" strokeweight="1pt"/>
            <w10:anchorlock/>
          </v:group>
        </w:pict>
      </w:r>
    </w:p>
    <w:p w:rsidR="007E59EF" w:rsidRDefault="007E59EF">
      <w:pPr>
        <w:pStyle w:val="BodyText"/>
        <w:spacing w:before="2"/>
        <w:rPr>
          <w:sz w:val="14"/>
        </w:rPr>
      </w:pPr>
    </w:p>
    <w:p w:rsidR="007E59EF" w:rsidRDefault="007E59EF">
      <w:pPr>
        <w:rPr>
          <w:sz w:val="14"/>
        </w:rPr>
        <w:sectPr w:rsidR="007E59EF">
          <w:type w:val="continuous"/>
          <w:pgSz w:w="12240" w:h="15840"/>
          <w:pgMar w:top="0" w:right="0" w:bottom="780" w:left="0" w:header="720" w:footer="720" w:gutter="0"/>
          <w:cols w:space="720"/>
        </w:sectPr>
      </w:pPr>
    </w:p>
    <w:p w:rsidR="007E59EF" w:rsidRDefault="009740A5">
      <w:pPr>
        <w:pStyle w:val="ListParagraph"/>
        <w:numPr>
          <w:ilvl w:val="0"/>
          <w:numId w:val="5"/>
        </w:numPr>
        <w:tabs>
          <w:tab w:val="left" w:pos="1236"/>
        </w:tabs>
        <w:spacing w:before="96" w:line="278" w:lineRule="auto"/>
        <w:ind w:right="3" w:hanging="180"/>
        <w:jc w:val="left"/>
        <w:rPr>
          <w:sz w:val="15"/>
        </w:rPr>
      </w:pPr>
      <w:r>
        <w:rPr>
          <w:color w:val="414042"/>
          <w:sz w:val="15"/>
        </w:rPr>
        <w:t xml:space="preserve">Bruns, E. J., &amp; Walker, J. S. (Eds.) (2014). </w:t>
      </w:r>
      <w:r>
        <w:rPr>
          <w:i/>
          <w:color w:val="414042"/>
          <w:sz w:val="15"/>
        </w:rPr>
        <w:t xml:space="preserve">The Resource Guide to Wraparound. </w:t>
      </w:r>
      <w:r>
        <w:rPr>
          <w:color w:val="414042"/>
          <w:sz w:val="15"/>
        </w:rPr>
        <w:t>Portland, OR: National Wraparound Initiative, Research and Training Center for Family Support and Children’s Mental</w:t>
      </w:r>
      <w:r>
        <w:rPr>
          <w:color w:val="414042"/>
          <w:spacing w:val="-14"/>
          <w:sz w:val="15"/>
        </w:rPr>
        <w:t xml:space="preserve"> </w:t>
      </w:r>
      <w:r>
        <w:rPr>
          <w:color w:val="414042"/>
          <w:sz w:val="15"/>
        </w:rPr>
        <w:t>Health.</w:t>
      </w:r>
    </w:p>
    <w:p w:rsidR="007E59EF" w:rsidRDefault="009740A5">
      <w:pPr>
        <w:pStyle w:val="ListParagraph"/>
        <w:numPr>
          <w:ilvl w:val="0"/>
          <w:numId w:val="5"/>
        </w:numPr>
        <w:tabs>
          <w:tab w:val="left" w:pos="1236"/>
        </w:tabs>
        <w:spacing w:before="115" w:line="278" w:lineRule="auto"/>
        <w:ind w:hanging="180"/>
        <w:jc w:val="left"/>
        <w:rPr>
          <w:sz w:val="15"/>
        </w:rPr>
      </w:pPr>
      <w:r>
        <w:rPr>
          <w:color w:val="414042"/>
          <w:sz w:val="15"/>
        </w:rPr>
        <w:t xml:space="preserve">Walker, J.S. &amp; Bruns, E.J. (2006). Building on practice-based evidence: Using expert perspectives to define the wraparound process. </w:t>
      </w:r>
      <w:r>
        <w:rPr>
          <w:i/>
          <w:color w:val="414042"/>
          <w:sz w:val="15"/>
        </w:rPr>
        <w:t>Psychiatric Services, 57</w:t>
      </w:r>
      <w:r>
        <w:rPr>
          <w:color w:val="414042"/>
          <w:sz w:val="15"/>
        </w:rPr>
        <w:t>(11), 1579–1585.</w:t>
      </w:r>
      <w:r>
        <w:rPr>
          <w:color w:val="517489"/>
          <w:spacing w:val="-5"/>
          <w:sz w:val="15"/>
        </w:rPr>
        <w:t xml:space="preserve"> </w:t>
      </w:r>
      <w:hyperlink r:id="rId15">
        <w:r>
          <w:rPr>
            <w:color w:val="517489"/>
            <w:sz w:val="15"/>
            <w:u w:val="single" w:color="517489"/>
          </w:rPr>
          <w:t>https://doi.org/10.1176/appi</w:t>
        </w:r>
        <w:r>
          <w:rPr>
            <w:color w:val="517489"/>
            <w:sz w:val="15"/>
          </w:rPr>
          <w:t>.</w:t>
        </w:r>
      </w:hyperlink>
      <w:hyperlink r:id="rId16">
        <w:r>
          <w:rPr>
            <w:color w:val="517489"/>
            <w:sz w:val="15"/>
            <w:u w:val="single" w:color="517489"/>
          </w:rPr>
          <w:t xml:space="preserve"> ps.57.11.1579</w:t>
        </w:r>
      </w:hyperlink>
      <w:r>
        <w:rPr>
          <w:color w:val="414042"/>
          <w:sz w:val="15"/>
        </w:rPr>
        <w:t>.</w:t>
      </w:r>
    </w:p>
    <w:p w:rsidR="007E59EF" w:rsidRDefault="009740A5">
      <w:pPr>
        <w:spacing w:before="96" w:line="278" w:lineRule="auto"/>
        <w:ind w:left="604" w:right="1171"/>
        <w:rPr>
          <w:sz w:val="15"/>
        </w:rPr>
      </w:pPr>
      <w:r>
        <w:br w:type="column"/>
      </w:r>
      <w:r>
        <w:rPr>
          <w:color w:val="414042"/>
          <w:sz w:val="15"/>
        </w:rPr>
        <w:t xml:space="preserve">Bruns, E. J., &amp; Walker, J. S. (2010). Defining practice: Flexibility, legitimacy, and the nature of systems of care and wraparound. </w:t>
      </w:r>
      <w:r>
        <w:rPr>
          <w:i/>
          <w:color w:val="414042"/>
          <w:sz w:val="15"/>
        </w:rPr>
        <w:t>Evalu- ation and Program Planning, 33</w:t>
      </w:r>
      <w:r>
        <w:rPr>
          <w:color w:val="414042"/>
          <w:sz w:val="15"/>
        </w:rPr>
        <w:t xml:space="preserve">(1), 45–48. </w:t>
      </w:r>
      <w:hyperlink r:id="rId17">
        <w:r>
          <w:rPr>
            <w:color w:val="517489"/>
            <w:sz w:val="15"/>
            <w:u w:val="single" w:color="517489"/>
          </w:rPr>
          <w:t>https://doi.org/10.1016/j</w:t>
        </w:r>
        <w:r>
          <w:rPr>
            <w:color w:val="517489"/>
            <w:sz w:val="15"/>
          </w:rPr>
          <w:t>.</w:t>
        </w:r>
      </w:hyperlink>
      <w:r>
        <w:rPr>
          <w:color w:val="517489"/>
          <w:sz w:val="15"/>
        </w:rPr>
        <w:t xml:space="preserve"> </w:t>
      </w:r>
      <w:hyperlink r:id="rId18">
        <w:r>
          <w:rPr>
            <w:color w:val="517489"/>
            <w:sz w:val="15"/>
            <w:u w:val="single" w:color="517489"/>
          </w:rPr>
          <w:t>evalprogplan.2009.05.013</w:t>
        </w:r>
      </w:hyperlink>
      <w:r>
        <w:rPr>
          <w:color w:val="414042"/>
          <w:sz w:val="15"/>
        </w:rPr>
        <w:t>.</w:t>
      </w:r>
    </w:p>
    <w:p w:rsidR="007E59EF" w:rsidRDefault="007E59EF">
      <w:pPr>
        <w:pStyle w:val="BodyText"/>
        <w:spacing w:before="4"/>
        <w:rPr>
          <w:sz w:val="17"/>
        </w:rPr>
      </w:pPr>
    </w:p>
    <w:p w:rsidR="007E59EF" w:rsidRDefault="009740A5">
      <w:pPr>
        <w:spacing w:before="1" w:line="278" w:lineRule="auto"/>
        <w:ind w:left="604" w:right="1026"/>
        <w:rPr>
          <w:sz w:val="15"/>
        </w:rPr>
      </w:pPr>
      <w:r>
        <w:rPr>
          <w:color w:val="414042"/>
          <w:sz w:val="15"/>
        </w:rPr>
        <w:t xml:space="preserve">Walker, J. S., &amp; Bruns, E. J. (2008). </w:t>
      </w:r>
      <w:r>
        <w:rPr>
          <w:i/>
          <w:color w:val="414042"/>
          <w:sz w:val="15"/>
        </w:rPr>
        <w:t xml:space="preserve">Phases and activities of the wraparound process: Building agreement about a practice model. </w:t>
      </w:r>
      <w:r>
        <w:rPr>
          <w:color w:val="414042"/>
          <w:sz w:val="15"/>
        </w:rPr>
        <w:t xml:space="preserve">Portland, OR: National Wraparound Initiative, Research and Training Center on Family Support and Children’s Mental Health, Portland State University. </w:t>
      </w:r>
      <w:hyperlink r:id="rId19">
        <w:r>
          <w:rPr>
            <w:color w:val="517489"/>
            <w:sz w:val="15"/>
            <w:u w:val="single" w:color="517489"/>
          </w:rPr>
          <w:t>https://nwi.pdx.edu/pdf/PhaseActivWAProcess.pdf</w:t>
        </w:r>
      </w:hyperlink>
    </w:p>
    <w:p w:rsidR="007E59EF" w:rsidRDefault="007E59EF">
      <w:pPr>
        <w:spacing w:line="278" w:lineRule="auto"/>
        <w:rPr>
          <w:sz w:val="15"/>
        </w:rPr>
        <w:sectPr w:rsidR="007E59EF">
          <w:type w:val="continuous"/>
          <w:pgSz w:w="12240" w:h="15840"/>
          <w:pgMar w:top="0" w:right="0" w:bottom="780" w:left="0" w:header="720" w:footer="720" w:gutter="0"/>
          <w:cols w:num="2" w:space="720" w:equalWidth="0">
            <w:col w:w="5836" w:space="40"/>
            <w:col w:w="6364"/>
          </w:cols>
        </w:sectPr>
      </w:pPr>
    </w:p>
    <w:p w:rsidR="007E59EF" w:rsidRDefault="009740A5">
      <w:pPr>
        <w:spacing w:before="83" w:line="314" w:lineRule="auto"/>
        <w:ind w:left="1080"/>
        <w:jc w:val="both"/>
        <w:rPr>
          <w:rFonts w:ascii="Ubuntu" w:hAnsi="Ubuntu"/>
          <w:b/>
          <w:i/>
          <w:sz w:val="20"/>
        </w:rPr>
      </w:pPr>
      <w:r>
        <w:rPr>
          <w:rFonts w:ascii="Ubuntu" w:hAnsi="Ubuntu"/>
          <w:b/>
          <w:i/>
          <w:color w:val="414042"/>
          <w:sz w:val="20"/>
        </w:rPr>
        <w:lastRenderedPageBreak/>
        <w:t xml:space="preserve">NOTE: </w:t>
      </w:r>
      <w:r>
        <w:rPr>
          <w:i/>
          <w:color w:val="414042"/>
          <w:sz w:val="20"/>
        </w:rPr>
        <w:t>In this section you should also emphasize imple- mentation supports that contribute to high-quality rep- lication. For example, states and communities using the model supported through NWIC have access to written protocols, manuals, assessment tools, and other docu- mentation used by NWIC to support full implementation of the model. These resources are based on implemen- tation science and designed to meet needs from pre- implementation through sustainment stages. NWIC</w:t>
      </w:r>
      <w:r>
        <w:rPr>
          <w:i/>
          <w:color w:val="414042"/>
          <w:spacing w:val="-20"/>
          <w:sz w:val="20"/>
        </w:rPr>
        <w:t xml:space="preserve"> </w:t>
      </w:r>
      <w:r>
        <w:rPr>
          <w:i/>
          <w:color w:val="414042"/>
          <w:sz w:val="20"/>
        </w:rPr>
        <w:t>offers a well-developed training, mentoring and certification process for care coordinators and Wraparound supervi- sors.</w:t>
      </w:r>
      <w:r>
        <w:rPr>
          <w:i/>
          <w:color w:val="414042"/>
          <w:spacing w:val="-13"/>
          <w:sz w:val="20"/>
        </w:rPr>
        <w:t xml:space="preserve"> </w:t>
      </w:r>
      <w:r>
        <w:rPr>
          <w:i/>
          <w:color w:val="414042"/>
          <w:sz w:val="20"/>
        </w:rPr>
        <w:t>Additionally,</w:t>
      </w:r>
      <w:r>
        <w:rPr>
          <w:i/>
          <w:color w:val="414042"/>
          <w:spacing w:val="-13"/>
          <w:sz w:val="20"/>
        </w:rPr>
        <w:t xml:space="preserve"> </w:t>
      </w:r>
      <w:r>
        <w:rPr>
          <w:i/>
          <w:color w:val="414042"/>
          <w:sz w:val="20"/>
        </w:rPr>
        <w:t>there</w:t>
      </w:r>
      <w:r>
        <w:rPr>
          <w:i/>
          <w:color w:val="414042"/>
          <w:spacing w:val="-13"/>
          <w:sz w:val="20"/>
        </w:rPr>
        <w:t xml:space="preserve"> </w:t>
      </w:r>
      <w:r>
        <w:rPr>
          <w:i/>
          <w:color w:val="414042"/>
          <w:sz w:val="20"/>
        </w:rPr>
        <w:t>are</w:t>
      </w:r>
      <w:r>
        <w:rPr>
          <w:i/>
          <w:color w:val="414042"/>
          <w:spacing w:val="-13"/>
          <w:sz w:val="20"/>
        </w:rPr>
        <w:t xml:space="preserve"> </w:t>
      </w:r>
      <w:r>
        <w:rPr>
          <w:i/>
          <w:color w:val="414042"/>
          <w:sz w:val="20"/>
        </w:rPr>
        <w:t>multiple</w:t>
      </w:r>
      <w:r>
        <w:rPr>
          <w:i/>
          <w:color w:val="414042"/>
          <w:spacing w:val="-13"/>
          <w:sz w:val="20"/>
        </w:rPr>
        <w:t xml:space="preserve"> </w:t>
      </w:r>
      <w:r>
        <w:rPr>
          <w:i/>
          <w:color w:val="414042"/>
          <w:sz w:val="20"/>
        </w:rPr>
        <w:t>method</w:t>
      </w:r>
      <w:r>
        <w:rPr>
          <w:i/>
          <w:color w:val="414042"/>
          <w:spacing w:val="-13"/>
          <w:sz w:val="20"/>
        </w:rPr>
        <w:t xml:space="preserve"> </w:t>
      </w:r>
      <w:r>
        <w:rPr>
          <w:i/>
          <w:color w:val="414042"/>
          <w:sz w:val="20"/>
        </w:rPr>
        <w:t>fidelity</w:t>
      </w:r>
      <w:r>
        <w:rPr>
          <w:i/>
          <w:color w:val="414042"/>
          <w:spacing w:val="-13"/>
          <w:sz w:val="20"/>
        </w:rPr>
        <w:t xml:space="preserve"> </w:t>
      </w:r>
      <w:r>
        <w:rPr>
          <w:i/>
          <w:color w:val="414042"/>
          <w:sz w:val="20"/>
        </w:rPr>
        <w:t>tools</w:t>
      </w:r>
      <w:r>
        <w:rPr>
          <w:i/>
          <w:color w:val="414042"/>
          <w:position w:val="7"/>
          <w:sz w:val="11"/>
        </w:rPr>
        <w:t xml:space="preserve">3 </w:t>
      </w:r>
      <w:r>
        <w:rPr>
          <w:i/>
          <w:color w:val="414042"/>
          <w:sz w:val="20"/>
        </w:rPr>
        <w:t xml:space="preserve">(see </w:t>
      </w:r>
      <w:hyperlink r:id="rId20">
        <w:r>
          <w:rPr>
            <w:i/>
            <w:color w:val="517489"/>
            <w:sz w:val="20"/>
            <w:u w:val="single" w:color="517489"/>
          </w:rPr>
          <w:t>https://depts.washington.edu/wrapeval</w:t>
        </w:r>
      </w:hyperlink>
      <w:r>
        <w:rPr>
          <w:i/>
          <w:color w:val="414042"/>
          <w:sz w:val="20"/>
        </w:rPr>
        <w:t>), training on use of those tools, and reports from the data collected by those tools, available to help sites implement the model. There are also system and organizational assessments to help build supportive environments. The tools and stan- dards are all research based and align with principles of implementation</w:t>
      </w:r>
      <w:r>
        <w:rPr>
          <w:i/>
          <w:color w:val="414042"/>
          <w:spacing w:val="-8"/>
          <w:sz w:val="20"/>
        </w:rPr>
        <w:t xml:space="preserve"> </w:t>
      </w:r>
      <w:r>
        <w:rPr>
          <w:i/>
          <w:color w:val="414042"/>
          <w:sz w:val="20"/>
        </w:rPr>
        <w:t>science.</w:t>
      </w:r>
      <w:r>
        <w:rPr>
          <w:i/>
          <w:color w:val="414042"/>
          <w:spacing w:val="-8"/>
          <w:sz w:val="20"/>
        </w:rPr>
        <w:t xml:space="preserve"> </w:t>
      </w:r>
      <w:r>
        <w:rPr>
          <w:i/>
          <w:color w:val="414042"/>
          <w:spacing w:val="-3"/>
          <w:sz w:val="20"/>
        </w:rPr>
        <w:t>Lastly,</w:t>
      </w:r>
      <w:r>
        <w:rPr>
          <w:i/>
          <w:color w:val="414042"/>
          <w:spacing w:val="-8"/>
          <w:sz w:val="20"/>
        </w:rPr>
        <w:t xml:space="preserve"> </w:t>
      </w:r>
      <w:r>
        <w:rPr>
          <w:i/>
          <w:color w:val="414042"/>
          <w:sz w:val="20"/>
        </w:rPr>
        <w:t>there</w:t>
      </w:r>
      <w:r>
        <w:rPr>
          <w:i/>
          <w:color w:val="414042"/>
          <w:spacing w:val="-8"/>
          <w:sz w:val="20"/>
        </w:rPr>
        <w:t xml:space="preserve"> </w:t>
      </w:r>
      <w:r>
        <w:rPr>
          <w:i/>
          <w:color w:val="414042"/>
          <w:sz w:val="20"/>
        </w:rPr>
        <w:t>are</w:t>
      </w:r>
      <w:r>
        <w:rPr>
          <w:i/>
          <w:color w:val="414042"/>
          <w:spacing w:val="-8"/>
          <w:sz w:val="20"/>
        </w:rPr>
        <w:t xml:space="preserve"> </w:t>
      </w:r>
      <w:r>
        <w:rPr>
          <w:i/>
          <w:color w:val="414042"/>
          <w:sz w:val="20"/>
        </w:rPr>
        <w:t>videos,</w:t>
      </w:r>
      <w:r>
        <w:rPr>
          <w:i/>
          <w:color w:val="414042"/>
          <w:spacing w:val="-8"/>
          <w:sz w:val="20"/>
        </w:rPr>
        <w:t xml:space="preserve"> </w:t>
      </w:r>
      <w:r>
        <w:rPr>
          <w:i/>
          <w:color w:val="414042"/>
          <w:sz w:val="20"/>
        </w:rPr>
        <w:t xml:space="preserve">quarterly webinars, monthly newsletters and annual conferences with information on specific topics of implementation and program evaluation. </w:t>
      </w:r>
      <w:r>
        <w:rPr>
          <w:rFonts w:ascii="Ubuntu" w:hAnsi="Ubuntu"/>
          <w:b/>
          <w:i/>
          <w:color w:val="414042"/>
          <w:sz w:val="20"/>
        </w:rPr>
        <w:t>In the “Supporting Material” section</w:t>
      </w:r>
      <w:r>
        <w:rPr>
          <w:rFonts w:ascii="Ubuntu" w:hAnsi="Ubuntu"/>
          <w:b/>
          <w:i/>
          <w:color w:val="414042"/>
          <w:spacing w:val="26"/>
          <w:sz w:val="20"/>
        </w:rPr>
        <w:t xml:space="preserve"> </w:t>
      </w:r>
      <w:r>
        <w:rPr>
          <w:rFonts w:ascii="Ubuntu" w:hAnsi="Ubuntu"/>
          <w:b/>
          <w:i/>
          <w:color w:val="414042"/>
          <w:sz w:val="20"/>
        </w:rPr>
        <w:t>of</w:t>
      </w:r>
      <w:r>
        <w:rPr>
          <w:rFonts w:ascii="Ubuntu" w:hAnsi="Ubuntu"/>
          <w:b/>
          <w:i/>
          <w:color w:val="414042"/>
          <w:spacing w:val="26"/>
          <w:sz w:val="20"/>
        </w:rPr>
        <w:t xml:space="preserve"> </w:t>
      </w:r>
      <w:r>
        <w:rPr>
          <w:rFonts w:ascii="Ubuntu" w:hAnsi="Ubuntu"/>
          <w:b/>
          <w:i/>
          <w:color w:val="414042"/>
          <w:sz w:val="20"/>
        </w:rPr>
        <w:t>this</w:t>
      </w:r>
      <w:r>
        <w:rPr>
          <w:rFonts w:ascii="Ubuntu" w:hAnsi="Ubuntu"/>
          <w:b/>
          <w:i/>
          <w:color w:val="414042"/>
          <w:spacing w:val="26"/>
          <w:sz w:val="20"/>
        </w:rPr>
        <w:t xml:space="preserve"> </w:t>
      </w:r>
      <w:r>
        <w:rPr>
          <w:rFonts w:ascii="Ubuntu" w:hAnsi="Ubuntu"/>
          <w:b/>
          <w:i/>
          <w:color w:val="414042"/>
          <w:sz w:val="20"/>
        </w:rPr>
        <w:t>document,</w:t>
      </w:r>
      <w:r>
        <w:rPr>
          <w:rFonts w:ascii="Ubuntu" w:hAnsi="Ubuntu"/>
          <w:b/>
          <w:i/>
          <w:color w:val="414042"/>
          <w:spacing w:val="26"/>
          <w:sz w:val="20"/>
        </w:rPr>
        <w:t xml:space="preserve"> </w:t>
      </w:r>
      <w:r>
        <w:rPr>
          <w:rFonts w:ascii="Ubuntu" w:hAnsi="Ubuntu"/>
          <w:b/>
          <w:i/>
          <w:color w:val="414042"/>
          <w:sz w:val="20"/>
        </w:rPr>
        <w:t>we</w:t>
      </w:r>
      <w:r>
        <w:rPr>
          <w:rFonts w:ascii="Ubuntu" w:hAnsi="Ubuntu"/>
          <w:b/>
          <w:i/>
          <w:color w:val="414042"/>
          <w:spacing w:val="26"/>
          <w:sz w:val="20"/>
        </w:rPr>
        <w:t xml:space="preserve"> </w:t>
      </w:r>
      <w:r>
        <w:rPr>
          <w:rFonts w:ascii="Ubuntu" w:hAnsi="Ubuntu"/>
          <w:b/>
          <w:i/>
          <w:color w:val="414042"/>
          <w:sz w:val="20"/>
        </w:rPr>
        <w:t>have</w:t>
      </w:r>
      <w:r>
        <w:rPr>
          <w:rFonts w:ascii="Ubuntu" w:hAnsi="Ubuntu"/>
          <w:b/>
          <w:i/>
          <w:color w:val="414042"/>
          <w:spacing w:val="26"/>
          <w:sz w:val="20"/>
        </w:rPr>
        <w:t xml:space="preserve"> </w:t>
      </w:r>
      <w:r>
        <w:rPr>
          <w:rFonts w:ascii="Ubuntu" w:hAnsi="Ubuntu"/>
          <w:b/>
          <w:i/>
          <w:color w:val="414042"/>
          <w:sz w:val="20"/>
        </w:rPr>
        <w:t>provided</w:t>
      </w:r>
      <w:r>
        <w:rPr>
          <w:rFonts w:ascii="Ubuntu" w:hAnsi="Ubuntu"/>
          <w:b/>
          <w:i/>
          <w:color w:val="414042"/>
          <w:spacing w:val="26"/>
          <w:sz w:val="20"/>
        </w:rPr>
        <w:t xml:space="preserve"> </w:t>
      </w:r>
      <w:r>
        <w:rPr>
          <w:rFonts w:ascii="Ubuntu" w:hAnsi="Ubuntu"/>
          <w:b/>
          <w:i/>
          <w:color w:val="414042"/>
          <w:sz w:val="20"/>
        </w:rPr>
        <w:t>an</w:t>
      </w:r>
      <w:r>
        <w:rPr>
          <w:rFonts w:ascii="Ubuntu" w:hAnsi="Ubuntu"/>
          <w:b/>
          <w:i/>
          <w:color w:val="414042"/>
          <w:spacing w:val="26"/>
          <w:sz w:val="20"/>
        </w:rPr>
        <w:t xml:space="preserve"> </w:t>
      </w:r>
      <w:r>
        <w:rPr>
          <w:rFonts w:ascii="Ubuntu" w:hAnsi="Ubuntu"/>
          <w:b/>
          <w:i/>
          <w:color w:val="414042"/>
          <w:sz w:val="20"/>
        </w:rPr>
        <w:t>an- notated compendium of links to these</w:t>
      </w:r>
      <w:r>
        <w:rPr>
          <w:rFonts w:ascii="Ubuntu" w:hAnsi="Ubuntu"/>
          <w:b/>
          <w:i/>
          <w:color w:val="414042"/>
          <w:spacing w:val="10"/>
          <w:sz w:val="20"/>
        </w:rPr>
        <w:t xml:space="preserve"> </w:t>
      </w:r>
      <w:r>
        <w:rPr>
          <w:rFonts w:ascii="Ubuntu" w:hAnsi="Ubuntu"/>
          <w:b/>
          <w:i/>
          <w:color w:val="414042"/>
          <w:sz w:val="20"/>
        </w:rPr>
        <w:t>resources and encourage states and others who are submitting Wraparound for review to use them as you see</w:t>
      </w:r>
      <w:r>
        <w:rPr>
          <w:rFonts w:ascii="Ubuntu" w:hAnsi="Ubuntu"/>
          <w:b/>
          <w:i/>
          <w:color w:val="414042"/>
          <w:spacing w:val="-13"/>
          <w:sz w:val="20"/>
        </w:rPr>
        <w:t xml:space="preserve"> </w:t>
      </w:r>
      <w:r>
        <w:rPr>
          <w:rFonts w:ascii="Ubuntu" w:hAnsi="Ubuntu"/>
          <w:b/>
          <w:i/>
          <w:color w:val="414042"/>
          <w:sz w:val="20"/>
        </w:rPr>
        <w:t>fit.</w:t>
      </w:r>
    </w:p>
    <w:p w:rsidR="007E59EF" w:rsidRDefault="009740A5">
      <w:pPr>
        <w:spacing w:before="88" w:line="314" w:lineRule="auto"/>
        <w:ind w:left="1080"/>
        <w:jc w:val="both"/>
        <w:rPr>
          <w:i/>
          <w:sz w:val="20"/>
        </w:rPr>
      </w:pPr>
      <w:r>
        <w:rPr>
          <w:rFonts w:ascii="Ubuntu"/>
          <w:b/>
          <w:i/>
          <w:color w:val="414042"/>
          <w:sz w:val="20"/>
        </w:rPr>
        <w:t xml:space="preserve">NOTE: </w:t>
      </w:r>
      <w:r>
        <w:rPr>
          <w:i/>
          <w:color w:val="414042"/>
          <w:sz w:val="20"/>
        </w:rPr>
        <w:t>In this section you may also want to provide infor- mation about the research evidence that demonstrates the effectiveness of Intensive Care Coordination Using High-Fidelity</w:t>
      </w:r>
      <w:r>
        <w:rPr>
          <w:i/>
          <w:color w:val="414042"/>
          <w:spacing w:val="-13"/>
          <w:sz w:val="20"/>
        </w:rPr>
        <w:t xml:space="preserve"> </w:t>
      </w:r>
      <w:r>
        <w:rPr>
          <w:i/>
          <w:color w:val="414042"/>
          <w:sz w:val="20"/>
        </w:rPr>
        <w:t>Wraparound.</w:t>
      </w:r>
      <w:r>
        <w:rPr>
          <w:i/>
          <w:color w:val="414042"/>
          <w:spacing w:val="-13"/>
          <w:sz w:val="20"/>
        </w:rPr>
        <w:t xml:space="preserve"> </w:t>
      </w:r>
      <w:r>
        <w:rPr>
          <w:i/>
          <w:color w:val="414042"/>
          <w:sz w:val="20"/>
        </w:rPr>
        <w:t>Suggested</w:t>
      </w:r>
      <w:r>
        <w:rPr>
          <w:i/>
          <w:color w:val="414042"/>
          <w:spacing w:val="-13"/>
          <w:sz w:val="20"/>
        </w:rPr>
        <w:t xml:space="preserve"> </w:t>
      </w:r>
      <w:r>
        <w:rPr>
          <w:i/>
          <w:color w:val="414042"/>
          <w:sz w:val="20"/>
        </w:rPr>
        <w:t>language</w:t>
      </w:r>
      <w:r>
        <w:rPr>
          <w:i/>
          <w:color w:val="414042"/>
          <w:spacing w:val="-13"/>
          <w:sz w:val="20"/>
        </w:rPr>
        <w:t xml:space="preserve"> </w:t>
      </w:r>
      <w:r>
        <w:rPr>
          <w:i/>
          <w:color w:val="414042"/>
          <w:sz w:val="20"/>
        </w:rPr>
        <w:t>is</w:t>
      </w:r>
      <w:r>
        <w:rPr>
          <w:i/>
          <w:color w:val="414042"/>
          <w:spacing w:val="-13"/>
          <w:sz w:val="20"/>
        </w:rPr>
        <w:t xml:space="preserve"> </w:t>
      </w:r>
      <w:r>
        <w:rPr>
          <w:i/>
          <w:color w:val="414042"/>
          <w:sz w:val="20"/>
        </w:rPr>
        <w:t>provided below.</w:t>
      </w:r>
    </w:p>
    <w:p w:rsidR="007E59EF" w:rsidRDefault="009740A5">
      <w:pPr>
        <w:pStyle w:val="Heading3"/>
        <w:spacing w:before="68"/>
        <w:ind w:left="319"/>
      </w:pPr>
      <w:r>
        <w:br w:type="column"/>
      </w:r>
      <w:r>
        <w:rPr>
          <w:color w:val="517489"/>
        </w:rPr>
        <w:t>Evidence from Research Studies</w:t>
      </w:r>
    </w:p>
    <w:p w:rsidR="007E59EF" w:rsidRDefault="009740A5">
      <w:pPr>
        <w:pStyle w:val="BodyText"/>
        <w:spacing w:before="170" w:line="314" w:lineRule="auto"/>
        <w:ind w:left="319" w:right="1077"/>
        <w:jc w:val="both"/>
      </w:pPr>
      <w:r>
        <w:rPr>
          <w:color w:val="414042"/>
        </w:rPr>
        <w:t>As described by the systematic review published by Coldiron, Bruns, &amp; Quick (2017),</w:t>
      </w:r>
      <w:r>
        <w:rPr>
          <w:color w:val="414042"/>
          <w:position w:val="7"/>
          <w:sz w:val="11"/>
        </w:rPr>
        <w:t xml:space="preserve">4 </w:t>
      </w:r>
      <w:r>
        <w:rPr>
          <w:color w:val="414042"/>
        </w:rPr>
        <w:t xml:space="preserve">the research base for </w:t>
      </w:r>
      <w:r>
        <w:rPr>
          <w:i/>
          <w:color w:val="414042"/>
        </w:rPr>
        <w:t xml:space="preserve">Intensive Care Coordination Using High-Fidelity Wrap- around </w:t>
      </w:r>
      <w:r>
        <w:rPr>
          <w:color w:val="414042"/>
        </w:rPr>
        <w:t>has grown steadily, with 206 peer-reviewed articles published between 1990 and 2015. Among these studies were 22 controlled (experimental or quasi-experimental) studies, 15 of which showed posi- tive results of Wraparound compared to the control or comparison condition. Although several studies found no differences between conditions, none of the 22 studies found better outcomes for the comparison group.</w:t>
      </w:r>
    </w:p>
    <w:p w:rsidR="007E59EF" w:rsidRDefault="009740A5">
      <w:pPr>
        <w:spacing w:before="103" w:line="314" w:lineRule="auto"/>
        <w:ind w:left="319" w:right="1077"/>
        <w:jc w:val="both"/>
        <w:rPr>
          <w:i/>
          <w:sz w:val="20"/>
        </w:rPr>
      </w:pPr>
      <w:r>
        <w:rPr>
          <w:rFonts w:ascii="Ubuntu" w:hAnsi="Ubuntu"/>
          <w:b/>
          <w:i/>
          <w:color w:val="414042"/>
          <w:sz w:val="20"/>
        </w:rPr>
        <w:t xml:space="preserve">NOTE: </w:t>
      </w:r>
      <w:r>
        <w:rPr>
          <w:i/>
          <w:color w:val="414042"/>
          <w:sz w:val="20"/>
        </w:rPr>
        <w:t>In the “Supporting Materials” section of this document, we provide references for 11 controlled (ex- perimental or quasi-experimental) research studies that provide evidence for the positive effects of Intensive Care Coordination Using High-Fidelity Wraparound. We also provide a summary of all these studies, their methods, and findings. Although, as noted above, there are more controlled studies of Wraparound, this compendium only presents studies that:</w:t>
      </w:r>
    </w:p>
    <w:p w:rsidR="007E59EF" w:rsidRDefault="009740A5">
      <w:pPr>
        <w:spacing w:before="35" w:line="295" w:lineRule="auto"/>
        <w:ind w:left="589" w:right="839" w:hanging="270"/>
        <w:rPr>
          <w:i/>
          <w:sz w:val="20"/>
        </w:rPr>
      </w:pPr>
      <w:r>
        <w:rPr>
          <w:rFonts w:ascii="Myriad Pro" w:hAnsi="Myriad Pro"/>
          <w:color w:val="414042"/>
          <w:sz w:val="25"/>
        </w:rPr>
        <w:t xml:space="preserve">» </w:t>
      </w:r>
      <w:r>
        <w:rPr>
          <w:i/>
          <w:color w:val="414042"/>
          <w:sz w:val="20"/>
        </w:rPr>
        <w:t>Evaluated impact on one or more of the outcomes targeted by the FFSPA (child safety, child permanency, child well-being, adult well-being);</w:t>
      </w:r>
    </w:p>
    <w:p w:rsidR="007E59EF" w:rsidRDefault="009740A5">
      <w:pPr>
        <w:spacing w:before="53" w:line="300" w:lineRule="exact"/>
        <w:ind w:left="589" w:right="1083" w:hanging="270"/>
        <w:rPr>
          <w:i/>
          <w:sz w:val="20"/>
        </w:rPr>
      </w:pPr>
      <w:r>
        <w:rPr>
          <w:rFonts w:ascii="Myriad Pro" w:hAnsi="Myriad Pro"/>
          <w:color w:val="414042"/>
          <w:sz w:val="25"/>
        </w:rPr>
        <w:t xml:space="preserve">» </w:t>
      </w:r>
      <w:r>
        <w:rPr>
          <w:i/>
          <w:color w:val="414042"/>
          <w:sz w:val="20"/>
        </w:rPr>
        <w:t>Implemented a version of care coordination for youth with complex needs that is consistent with Intensive Care Coordination Using High-Fidelity Wraparound, the practice model described by Walker &amp; Bruns (2006) and Walker &amp; Bruns (2008) and supported</w:t>
      </w:r>
    </w:p>
    <w:p w:rsidR="007E59EF" w:rsidRDefault="007E59EF">
      <w:pPr>
        <w:spacing w:line="300" w:lineRule="exact"/>
        <w:rPr>
          <w:sz w:val="20"/>
        </w:rPr>
        <w:sectPr w:rsidR="007E59EF">
          <w:pgSz w:w="12240" w:h="15840"/>
          <w:pgMar w:top="960" w:right="0" w:bottom="780" w:left="0" w:header="0" w:footer="580" w:gutter="0"/>
          <w:cols w:num="2" w:space="720" w:equalWidth="0">
            <w:col w:w="5941" w:space="40"/>
            <w:col w:w="6259"/>
          </w:cols>
        </w:sectPr>
      </w:pPr>
    </w:p>
    <w:p w:rsidR="007E59EF" w:rsidRDefault="007E59EF">
      <w:pPr>
        <w:pStyle w:val="BodyText"/>
        <w:rPr>
          <w:i/>
        </w:rPr>
      </w:pPr>
    </w:p>
    <w:p w:rsidR="007E59EF" w:rsidRDefault="007E59EF">
      <w:pPr>
        <w:pStyle w:val="BodyText"/>
        <w:rPr>
          <w:i/>
        </w:rPr>
      </w:pPr>
    </w:p>
    <w:p w:rsidR="007E59EF" w:rsidRDefault="007E59EF">
      <w:pPr>
        <w:pStyle w:val="BodyText"/>
        <w:rPr>
          <w:i/>
        </w:rPr>
      </w:pPr>
    </w:p>
    <w:p w:rsidR="007E59EF" w:rsidRDefault="007E59EF">
      <w:pPr>
        <w:pStyle w:val="BodyText"/>
        <w:rPr>
          <w:i/>
        </w:rPr>
      </w:pPr>
    </w:p>
    <w:p w:rsidR="007E59EF" w:rsidRDefault="007E59EF">
      <w:pPr>
        <w:pStyle w:val="BodyText"/>
        <w:rPr>
          <w:i/>
        </w:rPr>
      </w:pPr>
    </w:p>
    <w:p w:rsidR="007E59EF" w:rsidRDefault="007E59EF">
      <w:pPr>
        <w:pStyle w:val="BodyText"/>
        <w:rPr>
          <w:i/>
        </w:rPr>
      </w:pPr>
    </w:p>
    <w:p w:rsidR="007E59EF" w:rsidRDefault="007E59EF">
      <w:pPr>
        <w:pStyle w:val="BodyText"/>
        <w:spacing w:after="1"/>
        <w:rPr>
          <w:i/>
          <w:sz w:val="17"/>
        </w:rPr>
      </w:pPr>
    </w:p>
    <w:p w:rsidR="007E59EF" w:rsidRDefault="007B7991">
      <w:pPr>
        <w:pStyle w:val="BodyText"/>
        <w:spacing w:line="20" w:lineRule="exact"/>
        <w:ind w:left="1070"/>
        <w:rPr>
          <w:sz w:val="2"/>
        </w:rPr>
      </w:pPr>
      <w:r>
        <w:rPr>
          <w:sz w:val="2"/>
        </w:rPr>
      </w:r>
      <w:r>
        <w:rPr>
          <w:sz w:val="2"/>
        </w:rPr>
        <w:pict>
          <v:group id="_x0000_s1061" style="width:7in;height:1pt;mso-position-horizontal-relative:char;mso-position-vertical-relative:line" coordsize="10080,20">
            <v:line id="_x0000_s1062" style="position:absolute" from="0,10" to="10080,10" strokecolor="#8dbfd0" strokeweight="1pt"/>
            <w10:anchorlock/>
          </v:group>
        </w:pict>
      </w:r>
    </w:p>
    <w:p w:rsidR="007E59EF" w:rsidRDefault="007E59EF">
      <w:pPr>
        <w:pStyle w:val="BodyText"/>
        <w:spacing w:before="4"/>
        <w:rPr>
          <w:i/>
          <w:sz w:val="16"/>
        </w:rPr>
      </w:pPr>
    </w:p>
    <w:p w:rsidR="007E59EF" w:rsidRDefault="007E59EF">
      <w:pPr>
        <w:rPr>
          <w:sz w:val="16"/>
        </w:rPr>
        <w:sectPr w:rsidR="007E59EF">
          <w:type w:val="continuous"/>
          <w:pgSz w:w="12240" w:h="15840"/>
          <w:pgMar w:top="0" w:right="0" w:bottom="780" w:left="0" w:header="720" w:footer="720" w:gutter="0"/>
          <w:cols w:space="720"/>
        </w:sectPr>
      </w:pPr>
    </w:p>
    <w:p w:rsidR="007E59EF" w:rsidRDefault="009740A5">
      <w:pPr>
        <w:pStyle w:val="ListParagraph"/>
        <w:numPr>
          <w:ilvl w:val="0"/>
          <w:numId w:val="5"/>
        </w:numPr>
        <w:tabs>
          <w:tab w:val="left" w:pos="1236"/>
        </w:tabs>
        <w:spacing w:before="96" w:line="278" w:lineRule="auto"/>
        <w:ind w:right="90" w:hanging="180"/>
        <w:jc w:val="left"/>
        <w:rPr>
          <w:sz w:val="15"/>
        </w:rPr>
      </w:pPr>
      <w:r>
        <w:rPr>
          <w:color w:val="414042"/>
          <w:sz w:val="15"/>
        </w:rPr>
        <w:t>Pullmann, M. D., Bruns, E. J., &amp; Sather, A. K. (2013). Evaluating</w:t>
      </w:r>
      <w:r>
        <w:rPr>
          <w:color w:val="414042"/>
          <w:spacing w:val="-8"/>
          <w:sz w:val="15"/>
        </w:rPr>
        <w:t xml:space="preserve"> </w:t>
      </w:r>
      <w:r>
        <w:rPr>
          <w:color w:val="414042"/>
          <w:sz w:val="15"/>
        </w:rPr>
        <w:t xml:space="preserve">fidelity to the wraparound service model for youth: Application of item response theory to the Wraparound Fidelity Index. </w:t>
      </w:r>
      <w:r>
        <w:rPr>
          <w:i/>
          <w:color w:val="414042"/>
          <w:sz w:val="15"/>
        </w:rPr>
        <w:t>Psychological Assessment, 25</w:t>
      </w:r>
      <w:r>
        <w:rPr>
          <w:color w:val="414042"/>
          <w:sz w:val="15"/>
        </w:rPr>
        <w:t>(2), 583–598.</w:t>
      </w:r>
      <w:r>
        <w:rPr>
          <w:color w:val="517489"/>
          <w:spacing w:val="-1"/>
          <w:sz w:val="15"/>
        </w:rPr>
        <w:t xml:space="preserve"> </w:t>
      </w:r>
      <w:hyperlink r:id="rId21">
        <w:r>
          <w:rPr>
            <w:color w:val="517489"/>
            <w:sz w:val="15"/>
            <w:u w:val="single" w:color="517489"/>
          </w:rPr>
          <w:t>https://doi.org/10.1037/a0031864</w:t>
        </w:r>
      </w:hyperlink>
      <w:r>
        <w:rPr>
          <w:color w:val="414042"/>
          <w:sz w:val="15"/>
        </w:rPr>
        <w:t>.</w:t>
      </w:r>
    </w:p>
    <w:p w:rsidR="007E59EF" w:rsidRDefault="009740A5">
      <w:pPr>
        <w:spacing w:before="116" w:line="278" w:lineRule="auto"/>
        <w:ind w:left="1260" w:right="-18"/>
        <w:rPr>
          <w:sz w:val="15"/>
        </w:rPr>
      </w:pPr>
      <w:r>
        <w:rPr>
          <w:color w:val="414042"/>
          <w:sz w:val="15"/>
        </w:rPr>
        <w:t xml:space="preserve">Bruns, E. J., Weathers, E. S., Suter, J. C., Hensley, S., Pullmann, M. D., &amp; Sather, A. (2014). Psychometrics, reliability, and validity of a wrap- around team observation measure. </w:t>
      </w:r>
      <w:r>
        <w:rPr>
          <w:i/>
          <w:color w:val="414042"/>
          <w:sz w:val="15"/>
        </w:rPr>
        <w:t>Journal of Child and Family</w:t>
      </w:r>
      <w:r>
        <w:rPr>
          <w:i/>
          <w:color w:val="414042"/>
          <w:spacing w:val="-5"/>
          <w:sz w:val="15"/>
        </w:rPr>
        <w:t xml:space="preserve"> </w:t>
      </w:r>
      <w:r>
        <w:rPr>
          <w:i/>
          <w:color w:val="414042"/>
          <w:sz w:val="15"/>
        </w:rPr>
        <w:t>Studies</w:t>
      </w:r>
      <w:r>
        <w:rPr>
          <w:color w:val="414042"/>
          <w:sz w:val="15"/>
        </w:rPr>
        <w:t xml:space="preserve">, </w:t>
      </w:r>
      <w:r>
        <w:rPr>
          <w:i/>
          <w:color w:val="414042"/>
          <w:sz w:val="15"/>
        </w:rPr>
        <w:t>24</w:t>
      </w:r>
      <w:r>
        <w:rPr>
          <w:color w:val="414042"/>
          <w:sz w:val="15"/>
        </w:rPr>
        <w:t>(4), 979–991</w:t>
      </w:r>
      <w:r>
        <w:rPr>
          <w:color w:val="414042"/>
          <w:spacing w:val="-2"/>
          <w:sz w:val="15"/>
        </w:rPr>
        <w:t xml:space="preserve"> </w:t>
      </w:r>
      <w:hyperlink r:id="rId22">
        <w:r>
          <w:rPr>
            <w:color w:val="517489"/>
            <w:sz w:val="15"/>
            <w:u w:val="single" w:color="517489"/>
          </w:rPr>
          <w:t>https://doi.org/10.1007/s10826-014-9908-5</w:t>
        </w:r>
      </w:hyperlink>
    </w:p>
    <w:p w:rsidR="007E59EF" w:rsidRDefault="009740A5">
      <w:pPr>
        <w:pStyle w:val="ListParagraph"/>
        <w:numPr>
          <w:ilvl w:val="0"/>
          <w:numId w:val="5"/>
        </w:numPr>
        <w:tabs>
          <w:tab w:val="left" w:pos="524"/>
        </w:tabs>
        <w:spacing w:before="96" w:line="278" w:lineRule="auto"/>
        <w:ind w:left="547" w:right="1238" w:hanging="180"/>
        <w:jc w:val="left"/>
        <w:rPr>
          <w:sz w:val="15"/>
        </w:rPr>
      </w:pPr>
      <w:r>
        <w:rPr>
          <w:color w:val="414042"/>
          <w:sz w:val="15"/>
        </w:rPr>
        <w:br w:type="column"/>
      </w:r>
      <w:r>
        <w:rPr>
          <w:color w:val="414042"/>
          <w:sz w:val="15"/>
        </w:rPr>
        <w:t>Coldiron, J. S., Bruns, E. J., &amp; Quick, H. (2017). Twenty-five years of Wraparound care coordination research: A comprehensive review</w:t>
      </w:r>
      <w:r>
        <w:rPr>
          <w:color w:val="414042"/>
          <w:spacing w:val="-2"/>
          <w:sz w:val="15"/>
        </w:rPr>
        <w:t xml:space="preserve"> </w:t>
      </w:r>
      <w:r>
        <w:rPr>
          <w:color w:val="414042"/>
          <w:sz w:val="15"/>
        </w:rPr>
        <w:t xml:space="preserve">of the literature. </w:t>
      </w:r>
      <w:r>
        <w:rPr>
          <w:i/>
          <w:color w:val="414042"/>
          <w:sz w:val="15"/>
        </w:rPr>
        <w:t>Journal of Child and Family Studies, 26</w:t>
      </w:r>
      <w:r>
        <w:rPr>
          <w:color w:val="414042"/>
          <w:sz w:val="15"/>
        </w:rPr>
        <w:t>(5), 1245–1265.</w:t>
      </w:r>
      <w:r>
        <w:rPr>
          <w:color w:val="517489"/>
          <w:sz w:val="15"/>
          <w:u w:val="single" w:color="517489"/>
        </w:rPr>
        <w:t xml:space="preserve"> </w:t>
      </w:r>
      <w:hyperlink r:id="rId23">
        <w:r>
          <w:rPr>
            <w:color w:val="517489"/>
            <w:sz w:val="15"/>
            <w:u w:val="single" w:color="517489"/>
          </w:rPr>
          <w:t>https://doi.org/10.1007/s10826-016-0639-7</w:t>
        </w:r>
      </w:hyperlink>
      <w:r>
        <w:rPr>
          <w:color w:val="414042"/>
          <w:sz w:val="15"/>
        </w:rPr>
        <w:t>.</w:t>
      </w:r>
    </w:p>
    <w:p w:rsidR="007E59EF" w:rsidRDefault="007E59EF">
      <w:pPr>
        <w:spacing w:line="278" w:lineRule="auto"/>
        <w:rPr>
          <w:sz w:val="15"/>
        </w:rPr>
        <w:sectPr w:rsidR="007E59EF">
          <w:type w:val="continuous"/>
          <w:pgSz w:w="12240" w:h="15840"/>
          <w:pgMar w:top="0" w:right="0" w:bottom="780" w:left="0" w:header="720" w:footer="720" w:gutter="0"/>
          <w:cols w:num="2" w:space="720" w:equalWidth="0">
            <w:col w:w="5893" w:space="40"/>
            <w:col w:w="6307"/>
          </w:cols>
        </w:sectPr>
      </w:pPr>
    </w:p>
    <w:p w:rsidR="007E59EF" w:rsidRDefault="009740A5">
      <w:pPr>
        <w:spacing w:before="83" w:line="314" w:lineRule="auto"/>
        <w:ind w:left="1350"/>
        <w:rPr>
          <w:i/>
          <w:sz w:val="20"/>
        </w:rPr>
      </w:pPr>
      <w:r>
        <w:rPr>
          <w:i/>
          <w:color w:val="414042"/>
          <w:sz w:val="20"/>
        </w:rPr>
        <w:lastRenderedPageBreak/>
        <w:t>by NWIC and for which implementation support resources are summarized here; and</w:t>
      </w:r>
    </w:p>
    <w:p w:rsidR="007E59EF" w:rsidRDefault="009740A5">
      <w:pPr>
        <w:spacing w:before="42"/>
        <w:ind w:left="1080"/>
        <w:rPr>
          <w:i/>
          <w:sz w:val="20"/>
        </w:rPr>
      </w:pPr>
      <w:r>
        <w:rPr>
          <w:rFonts w:ascii="Myriad Pro" w:hAnsi="Myriad Pro"/>
          <w:color w:val="414042"/>
          <w:sz w:val="25"/>
        </w:rPr>
        <w:t xml:space="preserve">» </w:t>
      </w:r>
      <w:r>
        <w:rPr>
          <w:i/>
          <w:color w:val="414042"/>
          <w:sz w:val="20"/>
        </w:rPr>
        <w:t>Found significant outcomes in favor of the</w:t>
      </w:r>
    </w:p>
    <w:p w:rsidR="007E59EF" w:rsidRDefault="009740A5">
      <w:pPr>
        <w:spacing w:before="45"/>
        <w:ind w:left="1350"/>
        <w:rPr>
          <w:i/>
          <w:sz w:val="20"/>
        </w:rPr>
      </w:pPr>
      <w:r>
        <w:rPr>
          <w:i/>
          <w:color w:val="414042"/>
          <w:sz w:val="20"/>
        </w:rPr>
        <w:t>Wraparound condition.</w:t>
      </w:r>
    </w:p>
    <w:p w:rsidR="007E59EF" w:rsidRDefault="007E59EF">
      <w:pPr>
        <w:pStyle w:val="BodyText"/>
        <w:spacing w:before="5"/>
        <w:rPr>
          <w:i/>
          <w:sz w:val="26"/>
        </w:rPr>
      </w:pPr>
    </w:p>
    <w:p w:rsidR="007E59EF" w:rsidRDefault="009740A5">
      <w:pPr>
        <w:pStyle w:val="Heading3"/>
        <w:spacing w:line="254" w:lineRule="auto"/>
      </w:pPr>
      <w:r>
        <w:rPr>
          <w:color w:val="517489"/>
        </w:rPr>
        <w:t>Listings on Inventories and Other Endorsements</w:t>
      </w:r>
    </w:p>
    <w:p w:rsidR="007E59EF" w:rsidRDefault="009740A5">
      <w:pPr>
        <w:spacing w:before="102" w:line="300" w:lineRule="exact"/>
        <w:ind w:left="1350" w:right="-20" w:hanging="270"/>
        <w:rPr>
          <w:sz w:val="20"/>
        </w:rPr>
      </w:pPr>
      <w:r>
        <w:rPr>
          <w:rFonts w:ascii="Myriad Pro" w:hAnsi="Myriad Pro"/>
          <w:color w:val="414042"/>
          <w:sz w:val="25"/>
        </w:rPr>
        <w:t xml:space="preserve">» </w:t>
      </w:r>
      <w:r>
        <w:rPr>
          <w:color w:val="414042"/>
          <w:sz w:val="20"/>
        </w:rPr>
        <w:t xml:space="preserve">“Full Fidelity Wraparound” is listed as “evidence based,” the highest rating afforded, on the Washington State Institute for Public Policy (WSIPP) </w:t>
      </w:r>
      <w:r>
        <w:rPr>
          <w:i/>
          <w:color w:val="414042"/>
          <w:sz w:val="20"/>
        </w:rPr>
        <w:t>Inventory of Evidence-Based, Research-Based, and Promising Practices</w:t>
      </w:r>
      <w:r>
        <w:rPr>
          <w:color w:val="414042"/>
          <w:sz w:val="20"/>
        </w:rPr>
        <w:t>.</w:t>
      </w:r>
    </w:p>
    <w:p w:rsidR="007E59EF" w:rsidRDefault="009740A5">
      <w:pPr>
        <w:pStyle w:val="BodyText"/>
        <w:spacing w:before="90" w:line="300" w:lineRule="exact"/>
        <w:ind w:left="1350" w:right="127" w:hanging="270"/>
      </w:pPr>
      <w:r>
        <w:rPr>
          <w:rFonts w:ascii="Myriad Pro" w:hAnsi="Myriad Pro"/>
          <w:color w:val="414042"/>
          <w:sz w:val="25"/>
        </w:rPr>
        <w:t xml:space="preserve">» </w:t>
      </w:r>
      <w:r>
        <w:rPr>
          <w:color w:val="414042"/>
        </w:rPr>
        <w:t>“Wraparound” is also listed as having “Promising Research Evidence” on the California Evidence Based Clearinghouse for Child Welfare. Please note that the original submission for CEBC did not</w:t>
      </w:r>
    </w:p>
    <w:p w:rsidR="007E59EF" w:rsidRDefault="009740A5">
      <w:pPr>
        <w:pStyle w:val="BodyText"/>
        <w:spacing w:before="48" w:line="314" w:lineRule="auto"/>
        <w:ind w:left="1350" w:right="3"/>
      </w:pPr>
      <w:r>
        <w:rPr>
          <w:color w:val="414042"/>
        </w:rPr>
        <w:t>include many of the studies listed in the Supporting Materials section. An updated submission is being prepared for the upcoming October 31, 2019 deadline. A higher rating is expected.</w:t>
      </w:r>
    </w:p>
    <w:p w:rsidR="007E59EF" w:rsidRDefault="009740A5">
      <w:pPr>
        <w:pStyle w:val="BodyText"/>
        <w:spacing w:before="38" w:line="300" w:lineRule="exact"/>
        <w:ind w:left="1350" w:hanging="270"/>
      </w:pPr>
      <w:r>
        <w:rPr>
          <w:rFonts w:ascii="Myriad Pro" w:hAnsi="Myriad Pro"/>
          <w:color w:val="414042"/>
          <w:sz w:val="25"/>
        </w:rPr>
        <w:t xml:space="preserve">» </w:t>
      </w:r>
      <w:r>
        <w:rPr>
          <w:color w:val="414042"/>
        </w:rPr>
        <w:t>At the federal level, the Department of Health and Human Services Department, Substance Abuse and Mental Health services Administration (SAMHSA) and the Centers for Medicare and Medicaid Services (CMS) jointly released an informational bulletin encouraging states to include</w:t>
      </w:r>
      <w:r>
        <w:rPr>
          <w:color w:val="414042"/>
          <w:spacing w:val="-6"/>
        </w:rPr>
        <w:t xml:space="preserve"> </w:t>
      </w:r>
      <w:r>
        <w:rPr>
          <w:i/>
          <w:color w:val="414042"/>
        </w:rPr>
        <w:t>Intensive</w:t>
      </w:r>
      <w:r>
        <w:rPr>
          <w:i/>
          <w:color w:val="414042"/>
          <w:spacing w:val="-2"/>
        </w:rPr>
        <w:t xml:space="preserve"> </w:t>
      </w:r>
      <w:r>
        <w:rPr>
          <w:i/>
          <w:color w:val="414042"/>
        </w:rPr>
        <w:t xml:space="preserve">Care Coordination using High-Fidelity Wraparound </w:t>
      </w:r>
      <w:r>
        <w:rPr>
          <w:color w:val="414042"/>
        </w:rPr>
        <w:t>in their Medicaid state plans as a way to improve clinical youth outcomes in a cost-effective manner.</w:t>
      </w:r>
      <w:r>
        <w:rPr>
          <w:color w:val="414042"/>
          <w:position w:val="7"/>
          <w:sz w:val="11"/>
        </w:rPr>
        <w:t xml:space="preserve">5 </w:t>
      </w:r>
      <w:r>
        <w:rPr>
          <w:color w:val="414042"/>
        </w:rPr>
        <w:t>Both entities also fund numerous grants (or sometimes</w:t>
      </w:r>
    </w:p>
    <w:p w:rsidR="007E59EF" w:rsidRDefault="009740A5">
      <w:pPr>
        <w:pStyle w:val="BodyText"/>
        <w:spacing w:before="83" w:line="314" w:lineRule="auto"/>
        <w:ind w:left="592" w:right="1079"/>
      </w:pPr>
      <w:r>
        <w:br w:type="column"/>
      </w:r>
      <w:r>
        <w:rPr>
          <w:color w:val="414042"/>
        </w:rPr>
        <w:t>waivers in the case of CMS) that reference and/or encourage use of Intensive Care Coordination using Wraparound in their proposals.</w:t>
      </w:r>
    </w:p>
    <w:p w:rsidR="007E59EF" w:rsidRDefault="009740A5">
      <w:pPr>
        <w:pStyle w:val="BodyText"/>
        <w:spacing w:before="39" w:line="300" w:lineRule="exact"/>
        <w:ind w:left="592" w:right="1081" w:hanging="270"/>
      </w:pPr>
      <w:r>
        <w:rPr>
          <w:rFonts w:ascii="Myriad Pro" w:hAnsi="Myriad Pro"/>
          <w:color w:val="414042"/>
          <w:sz w:val="25"/>
        </w:rPr>
        <w:t xml:space="preserve">» </w:t>
      </w:r>
      <w:r>
        <w:rPr>
          <w:color w:val="414042"/>
        </w:rPr>
        <w:t>In addition, reports of the U.S. Surgeon General’s Office</w:t>
      </w:r>
      <w:r>
        <w:rPr>
          <w:color w:val="414042"/>
          <w:position w:val="7"/>
          <w:sz w:val="11"/>
        </w:rPr>
        <w:t xml:space="preserve">6 </w:t>
      </w:r>
      <w:r>
        <w:rPr>
          <w:color w:val="414042"/>
        </w:rPr>
        <w:t>and President’s New Freedom Commission on Mental Health</w:t>
      </w:r>
      <w:r>
        <w:rPr>
          <w:color w:val="414042"/>
          <w:position w:val="7"/>
          <w:sz w:val="11"/>
        </w:rPr>
        <w:t xml:space="preserve">7 </w:t>
      </w:r>
      <w:r>
        <w:rPr>
          <w:color w:val="414042"/>
        </w:rPr>
        <w:t>have highlighted Wraparound as a promising practice.</w:t>
      </w:r>
    </w:p>
    <w:p w:rsidR="007E59EF" w:rsidRDefault="009740A5">
      <w:pPr>
        <w:pStyle w:val="BodyText"/>
        <w:spacing w:before="90" w:line="300" w:lineRule="exact"/>
        <w:ind w:left="592" w:right="1079" w:hanging="270"/>
        <w:rPr>
          <w:sz w:val="11"/>
        </w:rPr>
      </w:pPr>
      <w:r>
        <w:rPr>
          <w:rFonts w:ascii="Myriad Pro" w:hAnsi="Myriad Pro"/>
          <w:color w:val="414042"/>
          <w:sz w:val="25"/>
        </w:rPr>
        <w:t xml:space="preserve">» </w:t>
      </w:r>
      <w:r>
        <w:rPr>
          <w:color w:val="414042"/>
        </w:rPr>
        <w:t>One of the original innovators of the defined model supported by NWIC, Wraparound Milwaukee, received Harvard’s prestigious Innovations in Government Award in 2009.</w:t>
      </w:r>
      <w:r>
        <w:rPr>
          <w:color w:val="414042"/>
          <w:position w:val="7"/>
          <w:sz w:val="11"/>
        </w:rPr>
        <w:t>8</w:t>
      </w:r>
    </w:p>
    <w:p w:rsidR="007E59EF" w:rsidRDefault="007E59EF">
      <w:pPr>
        <w:pStyle w:val="BodyText"/>
        <w:spacing w:before="5"/>
        <w:rPr>
          <w:sz w:val="24"/>
        </w:rPr>
      </w:pPr>
    </w:p>
    <w:p w:rsidR="007E59EF" w:rsidRDefault="009740A5">
      <w:pPr>
        <w:pStyle w:val="Heading3"/>
        <w:ind w:left="322"/>
      </w:pPr>
      <w:r>
        <w:rPr>
          <w:color w:val="517489"/>
        </w:rPr>
        <w:t>Use of the Model Across the Nation</w:t>
      </w:r>
    </w:p>
    <w:p w:rsidR="007E59EF" w:rsidRDefault="009740A5">
      <w:pPr>
        <w:pStyle w:val="BodyText"/>
        <w:spacing w:before="171" w:line="314" w:lineRule="auto"/>
        <w:ind w:left="322" w:right="1077"/>
        <w:jc w:val="both"/>
      </w:pPr>
      <w:r>
        <w:rPr>
          <w:color w:val="414042"/>
        </w:rPr>
        <w:t>Currently a form of Wraparound is practiced statewide by 27 states and operates in one or more local jurisdic- tions (typically counties) in another 20 states,</w:t>
      </w:r>
      <w:r>
        <w:rPr>
          <w:color w:val="414042"/>
          <w:position w:val="7"/>
          <w:sz w:val="11"/>
        </w:rPr>
        <w:t xml:space="preserve">9 </w:t>
      </w:r>
      <w:r>
        <w:rPr>
          <w:color w:val="414042"/>
        </w:rPr>
        <w:t xml:space="preserve">leaving just a small handful of states that have not invested </w:t>
      </w:r>
      <w:r>
        <w:rPr>
          <w:color w:val="414042"/>
          <w:spacing w:val="45"/>
        </w:rPr>
        <w:t xml:space="preserve"> </w:t>
      </w:r>
      <w:r>
        <w:rPr>
          <w:color w:val="414042"/>
        </w:rPr>
        <w:t xml:space="preserve">in the model. Nearly 100,000 youths are estimated to be served by over 1000 unique programs nationally. The NWIC model of </w:t>
      </w:r>
      <w:r>
        <w:rPr>
          <w:i/>
          <w:color w:val="414042"/>
        </w:rPr>
        <w:t xml:space="preserve">Intensive Care Coordination using High-Fidelity Wraparound </w:t>
      </w:r>
      <w:r>
        <w:rPr>
          <w:color w:val="414042"/>
        </w:rPr>
        <w:t xml:space="preserve">has been implemented in 15 states and numerous local communities. At least eight state-level Centers of Excellence (COEs) have been established focused exclusively or partially on ensuring implementation of high-quality Wraparound (e.g., GA, MS, SC, TN, </w:t>
      </w:r>
      <w:r>
        <w:rPr>
          <w:color w:val="414042"/>
          <w:spacing w:val="-3"/>
        </w:rPr>
        <w:t xml:space="preserve">VA). </w:t>
      </w:r>
      <w:r>
        <w:rPr>
          <w:color w:val="414042"/>
        </w:rPr>
        <w:t xml:space="preserve">These and many other states will likely write variations on the current letter directly recom- mending the inclusion of </w:t>
      </w:r>
      <w:r>
        <w:rPr>
          <w:i/>
          <w:color w:val="414042"/>
        </w:rPr>
        <w:t>Intensive Care Coordination Using</w:t>
      </w:r>
      <w:r>
        <w:rPr>
          <w:i/>
          <w:color w:val="414042"/>
          <w:spacing w:val="-7"/>
        </w:rPr>
        <w:t xml:space="preserve"> </w:t>
      </w:r>
      <w:r>
        <w:rPr>
          <w:i/>
          <w:color w:val="414042"/>
        </w:rPr>
        <w:t>High-Fidelity</w:t>
      </w:r>
      <w:r>
        <w:rPr>
          <w:i/>
          <w:color w:val="414042"/>
          <w:spacing w:val="-7"/>
        </w:rPr>
        <w:t xml:space="preserve"> </w:t>
      </w:r>
      <w:r>
        <w:rPr>
          <w:i/>
          <w:color w:val="414042"/>
        </w:rPr>
        <w:t>Wraparound</w:t>
      </w:r>
      <w:r>
        <w:rPr>
          <w:color w:val="414042"/>
        </w:rPr>
        <w:t>,</w:t>
      </w:r>
      <w:r>
        <w:rPr>
          <w:color w:val="414042"/>
          <w:spacing w:val="-7"/>
        </w:rPr>
        <w:t xml:space="preserve"> </w:t>
      </w:r>
      <w:r>
        <w:rPr>
          <w:color w:val="414042"/>
        </w:rPr>
        <w:t>or</w:t>
      </w:r>
      <w:r>
        <w:rPr>
          <w:color w:val="414042"/>
          <w:spacing w:val="-7"/>
        </w:rPr>
        <w:t xml:space="preserve"> </w:t>
      </w:r>
      <w:r>
        <w:rPr>
          <w:color w:val="414042"/>
        </w:rPr>
        <w:t>similar</w:t>
      </w:r>
      <w:r>
        <w:rPr>
          <w:color w:val="414042"/>
          <w:spacing w:val="-7"/>
        </w:rPr>
        <w:t xml:space="preserve"> </w:t>
      </w:r>
      <w:r>
        <w:rPr>
          <w:color w:val="414042"/>
        </w:rPr>
        <w:t>models,</w:t>
      </w:r>
      <w:r>
        <w:rPr>
          <w:color w:val="414042"/>
          <w:spacing w:val="-7"/>
        </w:rPr>
        <w:t xml:space="preserve"> </w:t>
      </w:r>
      <w:r>
        <w:rPr>
          <w:color w:val="414042"/>
        </w:rPr>
        <w:t>in</w:t>
      </w:r>
      <w:r>
        <w:rPr>
          <w:color w:val="414042"/>
          <w:spacing w:val="-7"/>
        </w:rPr>
        <w:t xml:space="preserve"> </w:t>
      </w:r>
      <w:r>
        <w:rPr>
          <w:color w:val="414042"/>
        </w:rPr>
        <w:t xml:space="preserve">the </w:t>
      </w:r>
      <w:r>
        <w:rPr>
          <w:i/>
          <w:color w:val="414042"/>
        </w:rPr>
        <w:t>Title IV-4 Prevention</w:t>
      </w:r>
      <w:r>
        <w:rPr>
          <w:i/>
          <w:color w:val="414042"/>
          <w:spacing w:val="-1"/>
        </w:rPr>
        <w:t xml:space="preserve"> </w:t>
      </w:r>
      <w:r>
        <w:rPr>
          <w:i/>
          <w:color w:val="414042"/>
        </w:rPr>
        <w:t>Clearinghouse</w:t>
      </w:r>
      <w:r>
        <w:rPr>
          <w:color w:val="414042"/>
        </w:rPr>
        <w:t>.</w:t>
      </w:r>
    </w:p>
    <w:p w:rsidR="007E59EF" w:rsidRDefault="007E59EF">
      <w:pPr>
        <w:spacing w:line="314" w:lineRule="auto"/>
        <w:jc w:val="both"/>
        <w:sectPr w:rsidR="007E59EF">
          <w:pgSz w:w="12240" w:h="15840"/>
          <w:pgMar w:top="960" w:right="0" w:bottom="780" w:left="0" w:header="0" w:footer="580" w:gutter="0"/>
          <w:cols w:num="2" w:space="720" w:equalWidth="0">
            <w:col w:w="5938" w:space="40"/>
            <w:col w:w="6262"/>
          </w:cols>
        </w:sectPr>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rPr>
          <w:sz w:val="22"/>
        </w:rPr>
      </w:pPr>
    </w:p>
    <w:p w:rsidR="007E59EF" w:rsidRDefault="007B7991">
      <w:pPr>
        <w:pStyle w:val="BodyText"/>
        <w:spacing w:line="20" w:lineRule="exact"/>
        <w:ind w:left="1070"/>
        <w:rPr>
          <w:sz w:val="2"/>
        </w:rPr>
      </w:pPr>
      <w:r>
        <w:rPr>
          <w:sz w:val="2"/>
        </w:rPr>
      </w:r>
      <w:r>
        <w:rPr>
          <w:sz w:val="2"/>
        </w:rPr>
        <w:pict>
          <v:group id="_x0000_s1059" style="width:7in;height:1pt;mso-position-horizontal-relative:char;mso-position-vertical-relative:line" coordsize="10080,20">
            <v:line id="_x0000_s1060" style="position:absolute" from="0,10" to="10080,10" strokecolor="#8dbfd0" strokeweight="1pt"/>
            <w10:anchorlock/>
          </v:group>
        </w:pict>
      </w:r>
    </w:p>
    <w:p w:rsidR="007E59EF" w:rsidRDefault="007E59EF">
      <w:pPr>
        <w:pStyle w:val="BodyText"/>
        <w:spacing w:before="7"/>
        <w:rPr>
          <w:sz w:val="14"/>
        </w:rPr>
      </w:pPr>
    </w:p>
    <w:p w:rsidR="007E59EF" w:rsidRDefault="007E59EF">
      <w:pPr>
        <w:rPr>
          <w:sz w:val="14"/>
        </w:rPr>
        <w:sectPr w:rsidR="007E59EF">
          <w:type w:val="continuous"/>
          <w:pgSz w:w="12240" w:h="15840"/>
          <w:pgMar w:top="0" w:right="0" w:bottom="780" w:left="0" w:header="720" w:footer="720" w:gutter="0"/>
          <w:cols w:space="720"/>
        </w:sectPr>
      </w:pPr>
    </w:p>
    <w:p w:rsidR="007E59EF" w:rsidRDefault="009740A5">
      <w:pPr>
        <w:pStyle w:val="ListParagraph"/>
        <w:numPr>
          <w:ilvl w:val="0"/>
          <w:numId w:val="5"/>
        </w:numPr>
        <w:tabs>
          <w:tab w:val="left" w:pos="1256"/>
        </w:tabs>
        <w:spacing w:before="96" w:line="278" w:lineRule="auto"/>
        <w:ind w:right="70" w:hanging="160"/>
        <w:jc w:val="left"/>
        <w:rPr>
          <w:sz w:val="15"/>
        </w:rPr>
      </w:pPr>
      <w:r>
        <w:rPr>
          <w:color w:val="414042"/>
          <w:sz w:val="15"/>
        </w:rPr>
        <w:t>May 7, 2013, CMS and SAMHSA jointly released informational bulletin based on CMHI and PRTF Demonstration programs.</w:t>
      </w:r>
      <w:r>
        <w:rPr>
          <w:color w:val="517489"/>
          <w:sz w:val="15"/>
        </w:rPr>
        <w:t xml:space="preserve"> </w:t>
      </w:r>
      <w:hyperlink r:id="rId24">
        <w:r>
          <w:rPr>
            <w:color w:val="517489"/>
            <w:sz w:val="15"/>
            <w:u w:val="single" w:color="517489"/>
          </w:rPr>
          <w:t>https://www</w:t>
        </w:r>
        <w:r>
          <w:rPr>
            <w:color w:val="517489"/>
            <w:sz w:val="15"/>
          </w:rPr>
          <w:t>.</w:t>
        </w:r>
      </w:hyperlink>
      <w:hyperlink r:id="rId25">
        <w:r>
          <w:rPr>
            <w:color w:val="517489"/>
            <w:sz w:val="15"/>
            <w:u w:val="single" w:color="517489"/>
          </w:rPr>
          <w:t xml:space="preserve"> medicaid.gov/federal-policy-guidance/downloads/cib-05-07-2013.pdf</w:t>
        </w:r>
      </w:hyperlink>
    </w:p>
    <w:p w:rsidR="007E59EF" w:rsidRDefault="009740A5">
      <w:pPr>
        <w:pStyle w:val="ListParagraph"/>
        <w:numPr>
          <w:ilvl w:val="0"/>
          <w:numId w:val="5"/>
        </w:numPr>
        <w:tabs>
          <w:tab w:val="left" w:pos="1256"/>
        </w:tabs>
        <w:spacing w:before="116" w:line="278" w:lineRule="auto"/>
        <w:ind w:hanging="160"/>
        <w:jc w:val="left"/>
        <w:rPr>
          <w:sz w:val="15"/>
        </w:rPr>
      </w:pPr>
      <w:r>
        <w:rPr>
          <w:color w:val="414042"/>
          <w:sz w:val="15"/>
        </w:rPr>
        <w:t>Report of the Surgeon General on Mental Health. (2003).</w:t>
      </w:r>
      <w:r>
        <w:rPr>
          <w:color w:val="517489"/>
          <w:sz w:val="15"/>
        </w:rPr>
        <w:t xml:space="preserve"> </w:t>
      </w:r>
      <w:hyperlink r:id="rId26">
        <w:r>
          <w:rPr>
            <w:color w:val="517489"/>
            <w:sz w:val="15"/>
            <w:u w:val="single" w:color="517489"/>
          </w:rPr>
          <w:t>https://</w:t>
        </w:r>
      </w:hyperlink>
      <w:hyperlink r:id="rId27">
        <w:r>
          <w:rPr>
            <w:color w:val="517489"/>
            <w:sz w:val="15"/>
            <w:u w:val="single" w:color="517489"/>
          </w:rPr>
          <w:t xml:space="preserve"> </w:t>
        </w:r>
        <w:r>
          <w:rPr>
            <w:color w:val="517489"/>
            <w:spacing w:val="-1"/>
            <w:sz w:val="15"/>
            <w:u w:val="single" w:color="517489"/>
          </w:rPr>
          <w:t>profiles.nlm.nih.gov/spotlight/nn/catalog?utf8=%E2%9C%93&amp;exhibit_</w:t>
        </w:r>
      </w:hyperlink>
      <w:hyperlink r:id="rId28">
        <w:r>
          <w:rPr>
            <w:color w:val="517489"/>
            <w:spacing w:val="-1"/>
            <w:sz w:val="15"/>
            <w:u w:val="single" w:color="517489"/>
          </w:rPr>
          <w:t xml:space="preserve"> </w:t>
        </w:r>
        <w:r>
          <w:rPr>
            <w:color w:val="517489"/>
            <w:sz w:val="15"/>
            <w:u w:val="single" w:color="517489"/>
          </w:rPr>
          <w:t>id=nn&amp;search_field=all_fields&amp;q=2000+mental+health</w:t>
        </w:r>
      </w:hyperlink>
    </w:p>
    <w:p w:rsidR="007E59EF" w:rsidRDefault="009740A5">
      <w:pPr>
        <w:pStyle w:val="ListParagraph"/>
        <w:numPr>
          <w:ilvl w:val="0"/>
          <w:numId w:val="5"/>
        </w:numPr>
        <w:tabs>
          <w:tab w:val="left" w:pos="1256"/>
        </w:tabs>
        <w:spacing w:before="115" w:line="278" w:lineRule="auto"/>
        <w:ind w:right="277" w:hanging="160"/>
        <w:jc w:val="left"/>
        <w:rPr>
          <w:sz w:val="15"/>
        </w:rPr>
      </w:pPr>
      <w:r>
        <w:rPr>
          <w:color w:val="414042"/>
          <w:sz w:val="15"/>
        </w:rPr>
        <w:t>The 2003 President’s New Freedom Commission on Mental</w:t>
      </w:r>
      <w:r>
        <w:rPr>
          <w:color w:val="414042"/>
          <w:spacing w:val="-3"/>
          <w:sz w:val="15"/>
        </w:rPr>
        <w:t xml:space="preserve"> </w:t>
      </w:r>
      <w:r>
        <w:rPr>
          <w:color w:val="414042"/>
          <w:sz w:val="15"/>
        </w:rPr>
        <w:t>Health Report.</w:t>
      </w:r>
    </w:p>
    <w:p w:rsidR="007E59EF" w:rsidRDefault="009740A5">
      <w:pPr>
        <w:spacing w:before="96" w:line="278" w:lineRule="auto"/>
        <w:ind w:left="503"/>
        <w:rPr>
          <w:sz w:val="15"/>
        </w:rPr>
      </w:pPr>
      <w:r>
        <w:br w:type="column"/>
      </w:r>
      <w:hyperlink r:id="rId29">
        <w:r>
          <w:rPr>
            <w:color w:val="517489"/>
            <w:sz w:val="15"/>
            <w:u w:val="single" w:color="517489"/>
          </w:rPr>
          <w:t>https://county.milwaukee.gov/ImageLibrary/User/jmaher/back-</w:t>
        </w:r>
      </w:hyperlink>
      <w:r>
        <w:rPr>
          <w:color w:val="517489"/>
          <w:sz w:val="15"/>
        </w:rPr>
        <w:t xml:space="preserve"> </w:t>
      </w:r>
      <w:hyperlink r:id="rId30">
        <w:r>
          <w:rPr>
            <w:color w:val="517489"/>
            <w:sz w:val="15"/>
            <w:u w:val="single" w:color="517489"/>
          </w:rPr>
          <w:t>grounndocuments/Presidents_New_Freedom_Report.pdf</w:t>
        </w:r>
      </w:hyperlink>
    </w:p>
    <w:p w:rsidR="007E59EF" w:rsidRDefault="007B7991">
      <w:pPr>
        <w:spacing w:before="116"/>
        <w:ind w:left="503"/>
        <w:rPr>
          <w:sz w:val="15"/>
        </w:rPr>
      </w:pPr>
      <w:hyperlink r:id="rId31">
        <w:r w:rsidR="009740A5">
          <w:rPr>
            <w:color w:val="517489"/>
            <w:sz w:val="15"/>
          </w:rPr>
          <w:t>https://ps.psychiatryonline.org/doi/full/10.1176/appi.ps.54.11.1467</w:t>
        </w:r>
      </w:hyperlink>
    </w:p>
    <w:p w:rsidR="007E59EF" w:rsidRDefault="007B7991">
      <w:pPr>
        <w:pStyle w:val="BodyText"/>
        <w:spacing w:line="20" w:lineRule="exact"/>
        <w:ind w:left="498"/>
        <w:rPr>
          <w:sz w:val="2"/>
        </w:rPr>
      </w:pPr>
      <w:r>
        <w:rPr>
          <w:sz w:val="2"/>
        </w:rPr>
      </w:r>
      <w:r>
        <w:rPr>
          <w:sz w:val="2"/>
        </w:rPr>
        <w:pict>
          <v:group id="_x0000_s1057" style="width:224.8pt;height:.45pt;mso-position-horizontal-relative:char;mso-position-vertical-relative:line" coordsize="4496,9">
            <v:line id="_x0000_s1058" style="position:absolute" from="0,4" to="4495,4" strokecolor="#517489" strokeweight=".42pt"/>
            <w10:anchorlock/>
          </v:group>
        </w:pict>
      </w:r>
    </w:p>
    <w:p w:rsidR="007E59EF" w:rsidRDefault="007B7991">
      <w:pPr>
        <w:pStyle w:val="ListParagraph"/>
        <w:numPr>
          <w:ilvl w:val="0"/>
          <w:numId w:val="5"/>
        </w:numPr>
        <w:tabs>
          <w:tab w:val="left" w:pos="500"/>
        </w:tabs>
        <w:spacing w:before="122"/>
        <w:ind w:left="499"/>
        <w:jc w:val="left"/>
        <w:rPr>
          <w:sz w:val="15"/>
        </w:rPr>
      </w:pPr>
      <w:hyperlink r:id="rId32">
        <w:r w:rsidR="009740A5">
          <w:rPr>
            <w:color w:val="517489"/>
            <w:sz w:val="15"/>
            <w:u w:val="single" w:color="517489"/>
          </w:rPr>
          <w:t>https://www.innovations.harvard.edu/wraparound-milwaukee</w:t>
        </w:r>
      </w:hyperlink>
    </w:p>
    <w:p w:rsidR="007E59EF" w:rsidRDefault="009740A5">
      <w:pPr>
        <w:pStyle w:val="ListParagraph"/>
        <w:numPr>
          <w:ilvl w:val="0"/>
          <w:numId w:val="5"/>
        </w:numPr>
        <w:tabs>
          <w:tab w:val="left" w:pos="500"/>
        </w:tabs>
        <w:spacing w:before="143" w:line="278" w:lineRule="auto"/>
        <w:ind w:left="503" w:right="1390" w:hanging="160"/>
        <w:jc w:val="left"/>
        <w:rPr>
          <w:sz w:val="15"/>
        </w:rPr>
      </w:pPr>
      <w:r>
        <w:rPr>
          <w:color w:val="414042"/>
          <w:sz w:val="15"/>
        </w:rPr>
        <w:t xml:space="preserve">Sather, A. &amp; Bruns, E. J. (2016). National Trends in Implementing Wraparound: Results of the State Wraparound Survey, 2013. </w:t>
      </w:r>
      <w:r>
        <w:rPr>
          <w:i/>
          <w:color w:val="414042"/>
          <w:sz w:val="15"/>
        </w:rPr>
        <w:t>Journal of Child and Family Studies, 25</w:t>
      </w:r>
      <w:r>
        <w:rPr>
          <w:color w:val="414042"/>
          <w:sz w:val="15"/>
        </w:rPr>
        <w:t>(10), 3160–3172.</w:t>
      </w:r>
      <w:r>
        <w:rPr>
          <w:color w:val="517489"/>
          <w:spacing w:val="-8"/>
          <w:sz w:val="15"/>
        </w:rPr>
        <w:t xml:space="preserve"> </w:t>
      </w:r>
      <w:hyperlink r:id="rId33">
        <w:r>
          <w:rPr>
            <w:color w:val="517489"/>
            <w:sz w:val="15"/>
            <w:u w:val="single" w:color="517489"/>
          </w:rPr>
          <w:t>https://doi</w:t>
        </w:r>
        <w:r>
          <w:rPr>
            <w:color w:val="517489"/>
            <w:sz w:val="15"/>
          </w:rPr>
          <w:t>.</w:t>
        </w:r>
      </w:hyperlink>
      <w:hyperlink r:id="rId34">
        <w:r>
          <w:rPr>
            <w:color w:val="517489"/>
            <w:sz w:val="15"/>
            <w:u w:val="single" w:color="517489"/>
          </w:rPr>
          <w:t xml:space="preserve"> org/10.1007/s10826-016-0469-7</w:t>
        </w:r>
      </w:hyperlink>
    </w:p>
    <w:p w:rsidR="007E59EF" w:rsidRDefault="007E59EF">
      <w:pPr>
        <w:spacing w:line="278" w:lineRule="auto"/>
        <w:rPr>
          <w:sz w:val="15"/>
        </w:rPr>
        <w:sectPr w:rsidR="007E59EF">
          <w:type w:val="continuous"/>
          <w:pgSz w:w="12240" w:h="15840"/>
          <w:pgMar w:top="0" w:right="0" w:bottom="780" w:left="0" w:header="720" w:footer="720" w:gutter="0"/>
          <w:cols w:num="2" w:space="720" w:equalWidth="0">
            <w:col w:w="5937" w:space="40"/>
            <w:col w:w="6263"/>
          </w:cols>
        </w:sectPr>
      </w:pPr>
    </w:p>
    <w:p w:rsidR="007E59EF" w:rsidRDefault="007B7991">
      <w:pPr>
        <w:pStyle w:val="BodyText"/>
      </w:pPr>
      <w:r>
        <w:lastRenderedPageBreak/>
        <w:pict>
          <v:group id="_x0000_s1054" style="position:absolute;margin-left:0;margin-top:0;width:612pt;height:11in;z-index:-27568;mso-position-horizontal-relative:page;mso-position-vertical-relative:page" coordsize="12240,15840">
            <v:shape id="_x0000_s1056" style="position:absolute;top:14980;width:12240;height:860" coordorigin=",14980" coordsize="12240,860" path="m12240,14980r-180,l,14980r,860l12060,15840r180,l12240,14980e" fillcolor="#fada51" stroked="f">
              <v:path arrowok="t"/>
            </v:shape>
            <v:rect id="_x0000_s1055" style="position:absolute;left:2026;width:8187;height:14980" fillcolor="#d5e4ea" stroked="f"/>
            <w10:wrap anchorx="page" anchory="page"/>
          </v:group>
        </w:pict>
      </w: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spacing w:before="6"/>
        <w:rPr>
          <w:sz w:val="26"/>
        </w:rPr>
      </w:pPr>
    </w:p>
    <w:p w:rsidR="007E59EF" w:rsidRDefault="009740A5">
      <w:pPr>
        <w:spacing w:before="92" w:line="235" w:lineRule="auto"/>
        <w:ind w:left="4092" w:right="3668" w:hanging="405"/>
        <w:rPr>
          <w:rFonts w:ascii="Ubuntu"/>
          <w:sz w:val="96"/>
        </w:rPr>
      </w:pPr>
      <w:r>
        <w:rPr>
          <w:rFonts w:ascii="Ubuntu"/>
          <w:color w:val="517489"/>
          <w:sz w:val="96"/>
        </w:rPr>
        <w:t>Supporting Materials</w:t>
      </w:r>
    </w:p>
    <w:p w:rsidR="007E59EF" w:rsidRDefault="007E59EF">
      <w:pPr>
        <w:pStyle w:val="BodyText"/>
        <w:spacing w:before="3"/>
        <w:rPr>
          <w:rFonts w:ascii="Ubuntu"/>
          <w:sz w:val="105"/>
        </w:rPr>
      </w:pPr>
    </w:p>
    <w:p w:rsidR="007E59EF" w:rsidRDefault="009740A5">
      <w:pPr>
        <w:pStyle w:val="ListParagraph"/>
        <w:numPr>
          <w:ilvl w:val="1"/>
          <w:numId w:val="5"/>
        </w:numPr>
        <w:tabs>
          <w:tab w:val="left" w:pos="3611"/>
        </w:tabs>
        <w:spacing w:line="244" w:lineRule="auto"/>
        <w:ind w:right="3201" w:hanging="374"/>
        <w:rPr>
          <w:rFonts w:ascii="Ubuntu"/>
          <w:i/>
          <w:sz w:val="34"/>
        </w:rPr>
      </w:pPr>
      <w:r>
        <w:rPr>
          <w:rFonts w:ascii="Ubuntu"/>
          <w:color w:val="517489"/>
          <w:spacing w:val="-4"/>
          <w:sz w:val="34"/>
        </w:rPr>
        <w:t xml:space="preserve">Supporting Material </w:t>
      </w:r>
      <w:r>
        <w:rPr>
          <w:rFonts w:ascii="Ubuntu"/>
          <w:color w:val="517489"/>
          <w:spacing w:val="-3"/>
          <w:sz w:val="34"/>
        </w:rPr>
        <w:t xml:space="preserve">for </w:t>
      </w:r>
      <w:r>
        <w:rPr>
          <w:rFonts w:ascii="Ubuntu"/>
          <w:i/>
          <w:color w:val="517489"/>
          <w:spacing w:val="-5"/>
          <w:sz w:val="34"/>
        </w:rPr>
        <w:t xml:space="preserve">Intensive </w:t>
      </w:r>
      <w:r>
        <w:rPr>
          <w:rFonts w:ascii="Ubuntu"/>
          <w:i/>
          <w:color w:val="517489"/>
          <w:spacing w:val="-6"/>
          <w:sz w:val="34"/>
        </w:rPr>
        <w:t xml:space="preserve">Care </w:t>
      </w:r>
      <w:r>
        <w:rPr>
          <w:rFonts w:ascii="Ubuntu"/>
          <w:i/>
          <w:color w:val="517489"/>
          <w:spacing w:val="-5"/>
          <w:sz w:val="34"/>
        </w:rPr>
        <w:t xml:space="preserve">Coordination </w:t>
      </w:r>
      <w:r>
        <w:rPr>
          <w:rFonts w:ascii="Ubuntu"/>
          <w:i/>
          <w:color w:val="517489"/>
          <w:spacing w:val="-4"/>
          <w:sz w:val="34"/>
        </w:rPr>
        <w:t xml:space="preserve">Using High-Fidelity </w:t>
      </w:r>
      <w:r>
        <w:rPr>
          <w:rFonts w:ascii="Ubuntu"/>
          <w:i/>
          <w:color w:val="517489"/>
          <w:spacing w:val="-5"/>
          <w:sz w:val="34"/>
        </w:rPr>
        <w:t>Wraparound</w:t>
      </w:r>
    </w:p>
    <w:p w:rsidR="007E59EF" w:rsidRDefault="009740A5">
      <w:pPr>
        <w:pStyle w:val="ListParagraph"/>
        <w:numPr>
          <w:ilvl w:val="1"/>
          <w:numId w:val="5"/>
        </w:numPr>
        <w:tabs>
          <w:tab w:val="left" w:pos="3592"/>
        </w:tabs>
        <w:spacing w:before="275" w:line="244" w:lineRule="auto"/>
        <w:ind w:right="3741" w:hanging="374"/>
        <w:rPr>
          <w:rFonts w:ascii="Ubuntu"/>
          <w:i/>
          <w:sz w:val="34"/>
        </w:rPr>
      </w:pPr>
      <w:r>
        <w:rPr>
          <w:rFonts w:ascii="Ubuntu"/>
          <w:color w:val="517489"/>
          <w:spacing w:val="-4"/>
          <w:sz w:val="34"/>
        </w:rPr>
        <w:t xml:space="preserve">Research Studies </w:t>
      </w:r>
      <w:r>
        <w:rPr>
          <w:rFonts w:ascii="Ubuntu"/>
          <w:color w:val="517489"/>
          <w:spacing w:val="-5"/>
          <w:sz w:val="34"/>
        </w:rPr>
        <w:t xml:space="preserve">Supportive </w:t>
      </w:r>
      <w:r>
        <w:rPr>
          <w:rFonts w:ascii="Ubuntu"/>
          <w:color w:val="517489"/>
          <w:spacing w:val="-4"/>
          <w:sz w:val="34"/>
        </w:rPr>
        <w:t xml:space="preserve">of </w:t>
      </w:r>
      <w:r>
        <w:rPr>
          <w:rFonts w:ascii="Ubuntu"/>
          <w:i/>
          <w:color w:val="517489"/>
          <w:spacing w:val="-4"/>
          <w:sz w:val="34"/>
        </w:rPr>
        <w:t xml:space="preserve">Intensive </w:t>
      </w:r>
      <w:r>
        <w:rPr>
          <w:rFonts w:ascii="Ubuntu"/>
          <w:i/>
          <w:color w:val="517489"/>
          <w:spacing w:val="-6"/>
          <w:sz w:val="34"/>
        </w:rPr>
        <w:t xml:space="preserve">Care </w:t>
      </w:r>
      <w:r>
        <w:rPr>
          <w:rFonts w:ascii="Ubuntu"/>
          <w:i/>
          <w:color w:val="517489"/>
          <w:spacing w:val="-5"/>
          <w:sz w:val="34"/>
        </w:rPr>
        <w:t xml:space="preserve">Coordination </w:t>
      </w:r>
      <w:r>
        <w:rPr>
          <w:rFonts w:ascii="Ubuntu"/>
          <w:i/>
          <w:color w:val="517489"/>
          <w:spacing w:val="-4"/>
          <w:sz w:val="34"/>
        </w:rPr>
        <w:t>Using High-Fidelity</w:t>
      </w:r>
      <w:r>
        <w:rPr>
          <w:rFonts w:ascii="Ubuntu"/>
          <w:i/>
          <w:color w:val="517489"/>
          <w:spacing w:val="-7"/>
          <w:sz w:val="34"/>
        </w:rPr>
        <w:t xml:space="preserve"> </w:t>
      </w:r>
      <w:r>
        <w:rPr>
          <w:rFonts w:ascii="Ubuntu"/>
          <w:i/>
          <w:color w:val="517489"/>
          <w:spacing w:val="-5"/>
          <w:sz w:val="34"/>
        </w:rPr>
        <w:t>Wraparound</w:t>
      </w:r>
    </w:p>
    <w:p w:rsidR="007E59EF" w:rsidRDefault="009740A5">
      <w:pPr>
        <w:pStyle w:val="ListParagraph"/>
        <w:numPr>
          <w:ilvl w:val="1"/>
          <w:numId w:val="5"/>
        </w:numPr>
        <w:tabs>
          <w:tab w:val="left" w:pos="3595"/>
        </w:tabs>
        <w:spacing w:before="274" w:line="244" w:lineRule="auto"/>
        <w:ind w:right="3268" w:hanging="374"/>
        <w:rPr>
          <w:rFonts w:ascii="Ubuntu"/>
          <w:i/>
          <w:sz w:val="34"/>
        </w:rPr>
      </w:pPr>
      <w:r>
        <w:rPr>
          <w:rFonts w:ascii="Ubuntu"/>
          <w:color w:val="517489"/>
          <w:spacing w:val="-5"/>
          <w:sz w:val="34"/>
        </w:rPr>
        <w:t xml:space="preserve">Key </w:t>
      </w:r>
      <w:r>
        <w:rPr>
          <w:rFonts w:ascii="Ubuntu"/>
          <w:color w:val="517489"/>
          <w:spacing w:val="-4"/>
          <w:sz w:val="34"/>
        </w:rPr>
        <w:t xml:space="preserve">Characteristics </w:t>
      </w:r>
      <w:r>
        <w:rPr>
          <w:rFonts w:ascii="Ubuntu"/>
          <w:color w:val="517489"/>
          <w:sz w:val="34"/>
        </w:rPr>
        <w:t xml:space="preserve">of </w:t>
      </w:r>
      <w:r>
        <w:rPr>
          <w:rFonts w:ascii="Ubuntu"/>
          <w:color w:val="517489"/>
          <w:spacing w:val="-4"/>
          <w:sz w:val="34"/>
        </w:rPr>
        <w:t xml:space="preserve">Research Studies </w:t>
      </w:r>
      <w:r>
        <w:rPr>
          <w:rFonts w:ascii="Ubuntu"/>
          <w:color w:val="517489"/>
          <w:spacing w:val="-5"/>
          <w:sz w:val="34"/>
        </w:rPr>
        <w:t xml:space="preserve">Supportive </w:t>
      </w:r>
      <w:r>
        <w:rPr>
          <w:rFonts w:ascii="Ubuntu"/>
          <w:color w:val="517489"/>
          <w:sz w:val="34"/>
        </w:rPr>
        <w:t xml:space="preserve">of </w:t>
      </w:r>
      <w:r>
        <w:rPr>
          <w:rFonts w:ascii="Ubuntu"/>
          <w:i/>
          <w:color w:val="517489"/>
          <w:spacing w:val="-4"/>
          <w:sz w:val="34"/>
        </w:rPr>
        <w:t xml:space="preserve">Intensive </w:t>
      </w:r>
      <w:r>
        <w:rPr>
          <w:rFonts w:ascii="Ubuntu"/>
          <w:i/>
          <w:color w:val="517489"/>
          <w:spacing w:val="-6"/>
          <w:sz w:val="34"/>
        </w:rPr>
        <w:t xml:space="preserve">Care </w:t>
      </w:r>
      <w:r>
        <w:rPr>
          <w:rFonts w:ascii="Ubuntu"/>
          <w:i/>
          <w:color w:val="517489"/>
          <w:spacing w:val="-5"/>
          <w:sz w:val="34"/>
        </w:rPr>
        <w:t xml:space="preserve">Coordination </w:t>
      </w:r>
      <w:r>
        <w:rPr>
          <w:rFonts w:ascii="Ubuntu"/>
          <w:i/>
          <w:color w:val="517489"/>
          <w:spacing w:val="-4"/>
          <w:sz w:val="34"/>
        </w:rPr>
        <w:t xml:space="preserve">Using High-Fidelity </w:t>
      </w:r>
      <w:r>
        <w:rPr>
          <w:rFonts w:ascii="Ubuntu"/>
          <w:i/>
          <w:color w:val="517489"/>
          <w:spacing w:val="-5"/>
          <w:sz w:val="34"/>
        </w:rPr>
        <w:t>Wraparound</w:t>
      </w: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rPr>
          <w:rFonts w:ascii="Ubuntu"/>
          <w:i/>
        </w:rPr>
      </w:pPr>
    </w:p>
    <w:p w:rsidR="007E59EF" w:rsidRDefault="007E59EF">
      <w:pPr>
        <w:pStyle w:val="BodyText"/>
        <w:spacing w:before="7"/>
        <w:rPr>
          <w:rFonts w:ascii="Ubuntu"/>
          <w:i/>
          <w:sz w:val="18"/>
        </w:rPr>
      </w:pPr>
    </w:p>
    <w:p w:rsidR="007E59EF" w:rsidRDefault="009740A5">
      <w:pPr>
        <w:pStyle w:val="Heading4"/>
        <w:spacing w:before="94"/>
        <w:jc w:val="center"/>
      </w:pPr>
      <w:r>
        <w:rPr>
          <w:color w:val="517489"/>
        </w:rPr>
        <w:t>6</w:t>
      </w:r>
    </w:p>
    <w:p w:rsidR="007E59EF" w:rsidRDefault="007E59EF">
      <w:pPr>
        <w:jc w:val="center"/>
        <w:sectPr w:rsidR="007E59EF">
          <w:footerReference w:type="default" r:id="rId35"/>
          <w:pgSz w:w="12240" w:h="15840"/>
          <w:pgMar w:top="1500" w:right="0" w:bottom="280" w:left="0" w:header="0" w:footer="0" w:gutter="0"/>
          <w:cols w:space="720"/>
        </w:sectPr>
      </w:pPr>
    </w:p>
    <w:p w:rsidR="007E59EF" w:rsidRDefault="009740A5">
      <w:pPr>
        <w:pStyle w:val="ListParagraph"/>
        <w:numPr>
          <w:ilvl w:val="0"/>
          <w:numId w:val="4"/>
        </w:numPr>
        <w:tabs>
          <w:tab w:val="left" w:pos="1464"/>
        </w:tabs>
        <w:spacing w:before="77"/>
        <w:ind w:hanging="383"/>
        <w:rPr>
          <w:rFonts w:ascii="Ubuntu"/>
          <w:i/>
          <w:sz w:val="34"/>
        </w:rPr>
      </w:pPr>
      <w:r>
        <w:rPr>
          <w:rFonts w:ascii="Ubuntu"/>
          <w:color w:val="517489"/>
          <w:spacing w:val="-4"/>
          <w:sz w:val="34"/>
        </w:rPr>
        <w:lastRenderedPageBreak/>
        <w:t xml:space="preserve">Supporting Material </w:t>
      </w:r>
      <w:r>
        <w:rPr>
          <w:rFonts w:ascii="Ubuntu"/>
          <w:color w:val="517489"/>
          <w:spacing w:val="-3"/>
          <w:sz w:val="34"/>
        </w:rPr>
        <w:t xml:space="preserve">for </w:t>
      </w:r>
      <w:r>
        <w:rPr>
          <w:rFonts w:ascii="Ubuntu"/>
          <w:i/>
          <w:color w:val="517489"/>
          <w:spacing w:val="-4"/>
          <w:sz w:val="34"/>
        </w:rPr>
        <w:t xml:space="preserve">Intensive </w:t>
      </w:r>
      <w:r>
        <w:rPr>
          <w:rFonts w:ascii="Ubuntu"/>
          <w:i/>
          <w:color w:val="517489"/>
          <w:spacing w:val="-6"/>
          <w:sz w:val="34"/>
        </w:rPr>
        <w:t>Care</w:t>
      </w:r>
      <w:r>
        <w:rPr>
          <w:rFonts w:ascii="Ubuntu"/>
          <w:i/>
          <w:color w:val="517489"/>
          <w:spacing w:val="-35"/>
          <w:sz w:val="34"/>
        </w:rPr>
        <w:t xml:space="preserve"> </w:t>
      </w:r>
      <w:r>
        <w:rPr>
          <w:rFonts w:ascii="Ubuntu"/>
          <w:i/>
          <w:color w:val="517489"/>
          <w:spacing w:val="-5"/>
          <w:sz w:val="34"/>
        </w:rPr>
        <w:t>Coordination</w:t>
      </w:r>
    </w:p>
    <w:p w:rsidR="007E59EF" w:rsidRDefault="009740A5">
      <w:pPr>
        <w:pStyle w:val="Heading2"/>
      </w:pPr>
      <w:r>
        <w:rPr>
          <w:color w:val="517489"/>
        </w:rPr>
        <w:t>Using High-Fidelity Wraparound</w:t>
      </w:r>
    </w:p>
    <w:p w:rsidR="007E59EF" w:rsidRDefault="009740A5">
      <w:pPr>
        <w:pStyle w:val="Heading3"/>
        <w:spacing w:before="257"/>
      </w:pPr>
      <w:r>
        <w:rPr>
          <w:color w:val="517489"/>
        </w:rPr>
        <w:t>Model Explication and General Implementation Support</w:t>
      </w:r>
    </w:p>
    <w:p w:rsidR="007E59EF" w:rsidRDefault="009740A5">
      <w:pPr>
        <w:pStyle w:val="ListParagraph"/>
        <w:numPr>
          <w:ilvl w:val="0"/>
          <w:numId w:val="3"/>
        </w:numPr>
        <w:tabs>
          <w:tab w:val="left" w:pos="1350"/>
        </w:tabs>
        <w:spacing w:before="236"/>
        <w:rPr>
          <w:i/>
          <w:sz w:val="20"/>
        </w:rPr>
      </w:pPr>
      <w:r>
        <w:rPr>
          <w:i/>
          <w:color w:val="414042"/>
          <w:sz w:val="20"/>
        </w:rPr>
        <w:t xml:space="preserve">The </w:t>
      </w:r>
      <w:r>
        <w:rPr>
          <w:i/>
          <w:color w:val="414042"/>
          <w:spacing w:val="-5"/>
          <w:sz w:val="20"/>
        </w:rPr>
        <w:t xml:space="preserve">Ten </w:t>
      </w:r>
      <w:r>
        <w:rPr>
          <w:i/>
          <w:color w:val="414042"/>
          <w:sz w:val="20"/>
        </w:rPr>
        <w:t>Principles of the Wraparound</w:t>
      </w:r>
      <w:r>
        <w:rPr>
          <w:i/>
          <w:color w:val="414042"/>
          <w:spacing w:val="3"/>
          <w:sz w:val="20"/>
        </w:rPr>
        <w:t xml:space="preserve"> </w:t>
      </w:r>
      <w:r>
        <w:rPr>
          <w:i/>
          <w:color w:val="414042"/>
          <w:sz w:val="20"/>
        </w:rPr>
        <w:t>Process</w:t>
      </w:r>
    </w:p>
    <w:p w:rsidR="007E59EF" w:rsidRDefault="007B7991">
      <w:pPr>
        <w:pStyle w:val="BodyText"/>
        <w:spacing w:before="185"/>
        <w:ind w:left="1350"/>
      </w:pPr>
      <w:hyperlink r:id="rId36">
        <w:r w:rsidR="009740A5">
          <w:rPr>
            <w:color w:val="517489"/>
            <w:u w:val="single" w:color="517489"/>
          </w:rPr>
          <w:t>https://nwi.pdx.edu/pdf/TenPrincWAProcess.pdf</w:t>
        </w:r>
      </w:hyperlink>
    </w:p>
    <w:p w:rsidR="007E59EF" w:rsidRDefault="007E59EF">
      <w:pPr>
        <w:pStyle w:val="BodyText"/>
        <w:spacing w:before="9"/>
        <w:rPr>
          <w:sz w:val="21"/>
        </w:rPr>
      </w:pPr>
    </w:p>
    <w:p w:rsidR="007E59EF" w:rsidRDefault="009740A5">
      <w:pPr>
        <w:pStyle w:val="ListParagraph"/>
        <w:numPr>
          <w:ilvl w:val="0"/>
          <w:numId w:val="3"/>
        </w:numPr>
        <w:tabs>
          <w:tab w:val="left" w:pos="1350"/>
        </w:tabs>
        <w:rPr>
          <w:i/>
          <w:sz w:val="20"/>
        </w:rPr>
      </w:pPr>
      <w:r>
        <w:rPr>
          <w:i/>
          <w:color w:val="414042"/>
          <w:spacing w:val="-3"/>
          <w:sz w:val="20"/>
        </w:rPr>
        <w:t xml:space="preserve">Key </w:t>
      </w:r>
      <w:r>
        <w:rPr>
          <w:i/>
          <w:color w:val="414042"/>
          <w:sz w:val="20"/>
        </w:rPr>
        <w:t>Elements of the Wraparound</w:t>
      </w:r>
      <w:r>
        <w:rPr>
          <w:i/>
          <w:color w:val="414042"/>
          <w:spacing w:val="1"/>
          <w:sz w:val="20"/>
        </w:rPr>
        <w:t xml:space="preserve"> </w:t>
      </w:r>
      <w:r>
        <w:rPr>
          <w:i/>
          <w:color w:val="414042"/>
          <w:sz w:val="20"/>
        </w:rPr>
        <w:t>Process</w:t>
      </w:r>
    </w:p>
    <w:p w:rsidR="007E59EF" w:rsidRDefault="007B7991">
      <w:pPr>
        <w:pStyle w:val="BodyText"/>
        <w:spacing w:before="185"/>
        <w:ind w:left="1350"/>
      </w:pPr>
      <w:hyperlink r:id="rId37">
        <w:r w:rsidR="009740A5">
          <w:rPr>
            <w:color w:val="517489"/>
            <w:u w:val="single" w:color="517489"/>
          </w:rPr>
          <w:t>https://docs.wixstatic.com/ugd/272564_2b46097ee7e149018a0fdd33a4b54121.pdf</w:t>
        </w:r>
      </w:hyperlink>
    </w:p>
    <w:p w:rsidR="007E59EF" w:rsidRDefault="007E59EF">
      <w:pPr>
        <w:pStyle w:val="BodyText"/>
        <w:spacing w:before="9"/>
        <w:rPr>
          <w:sz w:val="21"/>
        </w:rPr>
      </w:pPr>
    </w:p>
    <w:p w:rsidR="007E59EF" w:rsidRDefault="009740A5">
      <w:pPr>
        <w:pStyle w:val="ListParagraph"/>
        <w:numPr>
          <w:ilvl w:val="0"/>
          <w:numId w:val="3"/>
        </w:numPr>
        <w:tabs>
          <w:tab w:val="left" w:pos="1350"/>
        </w:tabs>
        <w:rPr>
          <w:i/>
          <w:sz w:val="20"/>
        </w:rPr>
      </w:pPr>
      <w:r>
        <w:rPr>
          <w:i/>
          <w:color w:val="414042"/>
          <w:sz w:val="20"/>
        </w:rPr>
        <w:t>Phases and Activities of the Wraparound</w:t>
      </w:r>
      <w:r>
        <w:rPr>
          <w:i/>
          <w:color w:val="414042"/>
          <w:spacing w:val="-1"/>
          <w:sz w:val="20"/>
        </w:rPr>
        <w:t xml:space="preserve"> </w:t>
      </w:r>
      <w:r>
        <w:rPr>
          <w:i/>
          <w:color w:val="414042"/>
          <w:sz w:val="20"/>
        </w:rPr>
        <w:t>Process</w:t>
      </w:r>
    </w:p>
    <w:p w:rsidR="007E59EF" w:rsidRDefault="007B7991">
      <w:pPr>
        <w:pStyle w:val="BodyText"/>
        <w:spacing w:before="186"/>
        <w:ind w:left="1350"/>
      </w:pPr>
      <w:hyperlink r:id="rId38">
        <w:r w:rsidR="009740A5">
          <w:rPr>
            <w:color w:val="517489"/>
            <w:u w:val="single" w:color="517489"/>
          </w:rPr>
          <w:t>https://nwi.pdx.edu/pdf/PhaseActivWAProcess.pdf</w:t>
        </w:r>
      </w:hyperlink>
    </w:p>
    <w:p w:rsidR="007E59EF" w:rsidRDefault="007E59EF">
      <w:pPr>
        <w:pStyle w:val="BodyText"/>
        <w:spacing w:before="8"/>
        <w:rPr>
          <w:sz w:val="21"/>
        </w:rPr>
      </w:pPr>
    </w:p>
    <w:p w:rsidR="007E59EF" w:rsidRDefault="009740A5">
      <w:pPr>
        <w:pStyle w:val="ListParagraph"/>
        <w:numPr>
          <w:ilvl w:val="0"/>
          <w:numId w:val="3"/>
        </w:numPr>
        <w:tabs>
          <w:tab w:val="left" w:pos="1350"/>
        </w:tabs>
        <w:rPr>
          <w:i/>
          <w:sz w:val="20"/>
        </w:rPr>
      </w:pPr>
      <w:r>
        <w:rPr>
          <w:i/>
          <w:color w:val="414042"/>
          <w:sz w:val="20"/>
        </w:rPr>
        <w:t>Wraparound Implementation Guide – A Handbook for Administrators and</w:t>
      </w:r>
      <w:r>
        <w:rPr>
          <w:i/>
          <w:color w:val="414042"/>
          <w:spacing w:val="-1"/>
          <w:sz w:val="20"/>
        </w:rPr>
        <w:t xml:space="preserve"> </w:t>
      </w:r>
      <w:r>
        <w:rPr>
          <w:i/>
          <w:color w:val="414042"/>
          <w:sz w:val="20"/>
        </w:rPr>
        <w:t>Managers</w:t>
      </w:r>
    </w:p>
    <w:p w:rsidR="007E59EF" w:rsidRDefault="007B7991">
      <w:pPr>
        <w:pStyle w:val="BodyText"/>
        <w:spacing w:before="186"/>
        <w:ind w:left="1350"/>
      </w:pPr>
      <w:hyperlink r:id="rId39">
        <w:r w:rsidR="009740A5">
          <w:rPr>
            <w:color w:val="517489"/>
            <w:u w:val="single" w:color="517489"/>
          </w:rPr>
          <w:t>https://nwi.pdx.edu/wraparound-implementation-guide</w:t>
        </w:r>
      </w:hyperlink>
    </w:p>
    <w:p w:rsidR="007E59EF" w:rsidRDefault="007E59EF">
      <w:pPr>
        <w:pStyle w:val="BodyText"/>
        <w:spacing w:before="9"/>
        <w:rPr>
          <w:sz w:val="21"/>
        </w:rPr>
      </w:pPr>
    </w:p>
    <w:p w:rsidR="007E59EF" w:rsidRDefault="009740A5">
      <w:pPr>
        <w:pStyle w:val="ListParagraph"/>
        <w:numPr>
          <w:ilvl w:val="0"/>
          <w:numId w:val="3"/>
        </w:numPr>
        <w:tabs>
          <w:tab w:val="left" w:pos="1350"/>
        </w:tabs>
        <w:spacing w:line="434" w:lineRule="auto"/>
        <w:ind w:right="2300"/>
        <w:rPr>
          <w:sz w:val="20"/>
        </w:rPr>
      </w:pPr>
      <w:r>
        <w:rPr>
          <w:i/>
          <w:color w:val="414042"/>
          <w:sz w:val="20"/>
        </w:rPr>
        <w:t xml:space="preserve">The Wraparound Process Users Guide: A handbook for Families. </w:t>
      </w:r>
      <w:r>
        <w:rPr>
          <w:color w:val="414042"/>
          <w:sz w:val="20"/>
        </w:rPr>
        <w:t>Available in Spanish and</w:t>
      </w:r>
      <w:r>
        <w:rPr>
          <w:color w:val="414042"/>
          <w:spacing w:val="-10"/>
          <w:sz w:val="20"/>
        </w:rPr>
        <w:t xml:space="preserve"> </w:t>
      </w:r>
      <w:r>
        <w:rPr>
          <w:color w:val="414042"/>
          <w:sz w:val="20"/>
        </w:rPr>
        <w:t>English.</w:t>
      </w:r>
      <w:r>
        <w:rPr>
          <w:color w:val="517489"/>
          <w:sz w:val="20"/>
          <w:u w:val="single" w:color="517489"/>
        </w:rPr>
        <w:t xml:space="preserve"> </w:t>
      </w:r>
      <w:hyperlink r:id="rId40">
        <w:r>
          <w:rPr>
            <w:color w:val="517489"/>
            <w:sz w:val="20"/>
            <w:u w:val="single" w:color="517489"/>
          </w:rPr>
          <w:t>https://nwi.pdx.edu/pdf/Wraparound_Family_Guide09-2010.pdf</w:t>
        </w:r>
      </w:hyperlink>
      <w:hyperlink r:id="rId41">
        <w:r>
          <w:rPr>
            <w:color w:val="517489"/>
            <w:sz w:val="20"/>
            <w:u w:val="single" w:color="517489"/>
          </w:rPr>
          <w:t xml:space="preserve"> https://nwi.pdx.edu/pdf/SpanishWraparoundGuide09-2010.pdf</w:t>
        </w:r>
      </w:hyperlink>
    </w:p>
    <w:p w:rsidR="007E59EF" w:rsidRDefault="009740A5">
      <w:pPr>
        <w:pStyle w:val="ListParagraph"/>
        <w:numPr>
          <w:ilvl w:val="0"/>
          <w:numId w:val="3"/>
        </w:numPr>
        <w:tabs>
          <w:tab w:val="left" w:pos="1350"/>
        </w:tabs>
        <w:spacing w:before="62"/>
        <w:rPr>
          <w:i/>
          <w:sz w:val="20"/>
        </w:rPr>
      </w:pPr>
      <w:r>
        <w:rPr>
          <w:i/>
          <w:color w:val="414042"/>
          <w:sz w:val="20"/>
        </w:rPr>
        <w:t>Wraparound Implementation and Practice Quality</w:t>
      </w:r>
      <w:r>
        <w:rPr>
          <w:i/>
          <w:color w:val="414042"/>
          <w:spacing w:val="-1"/>
          <w:sz w:val="20"/>
        </w:rPr>
        <w:t xml:space="preserve"> </w:t>
      </w:r>
      <w:r>
        <w:rPr>
          <w:i/>
          <w:color w:val="414042"/>
          <w:sz w:val="20"/>
        </w:rPr>
        <w:t>Standards</w:t>
      </w:r>
    </w:p>
    <w:p w:rsidR="007E59EF" w:rsidRDefault="007B7991">
      <w:pPr>
        <w:pStyle w:val="BodyText"/>
        <w:spacing w:before="186"/>
        <w:ind w:left="1420"/>
      </w:pPr>
      <w:hyperlink r:id="rId42">
        <w:r w:rsidR="009740A5">
          <w:rPr>
            <w:color w:val="517489"/>
            <w:u w:val="single" w:color="517489"/>
          </w:rPr>
          <w:t>https://nwi.pdx.edu/pdf/Wraparound-implementation-and-practice-quality-standards.pdf</w:t>
        </w:r>
      </w:hyperlink>
    </w:p>
    <w:p w:rsidR="007E59EF" w:rsidRDefault="007E59EF">
      <w:pPr>
        <w:pStyle w:val="BodyText"/>
        <w:spacing w:before="8"/>
        <w:rPr>
          <w:sz w:val="21"/>
        </w:rPr>
      </w:pPr>
    </w:p>
    <w:p w:rsidR="007E59EF" w:rsidRDefault="009740A5">
      <w:pPr>
        <w:pStyle w:val="ListParagraph"/>
        <w:numPr>
          <w:ilvl w:val="0"/>
          <w:numId w:val="3"/>
        </w:numPr>
        <w:tabs>
          <w:tab w:val="left" w:pos="1350"/>
        </w:tabs>
        <w:spacing w:before="1"/>
        <w:rPr>
          <w:i/>
          <w:sz w:val="20"/>
        </w:rPr>
      </w:pPr>
      <w:r>
        <w:rPr>
          <w:i/>
          <w:color w:val="414042"/>
          <w:sz w:val="20"/>
        </w:rPr>
        <w:t>NWI</w:t>
      </w:r>
      <w:r>
        <w:rPr>
          <w:i/>
          <w:color w:val="414042"/>
          <w:spacing w:val="-1"/>
          <w:sz w:val="20"/>
        </w:rPr>
        <w:t xml:space="preserve"> </w:t>
      </w:r>
      <w:r>
        <w:rPr>
          <w:i/>
          <w:color w:val="414042"/>
          <w:sz w:val="20"/>
        </w:rPr>
        <w:t>Webinars</w:t>
      </w:r>
    </w:p>
    <w:p w:rsidR="007E59EF" w:rsidRDefault="007B7991">
      <w:pPr>
        <w:pStyle w:val="BodyText"/>
        <w:spacing w:before="185"/>
        <w:ind w:left="1420"/>
      </w:pPr>
      <w:hyperlink r:id="rId43">
        <w:r w:rsidR="009740A5">
          <w:rPr>
            <w:color w:val="517489"/>
            <w:u w:val="single" w:color="517489"/>
          </w:rPr>
          <w:t>https://nwi.pdx.edu/previous-nwi-webinars</w:t>
        </w:r>
      </w:hyperlink>
    </w:p>
    <w:p w:rsidR="007E59EF" w:rsidRDefault="007E59EF">
      <w:pPr>
        <w:pStyle w:val="BodyText"/>
        <w:spacing w:before="5"/>
        <w:rPr>
          <w:sz w:val="26"/>
        </w:rPr>
      </w:pPr>
    </w:p>
    <w:p w:rsidR="007E59EF" w:rsidRDefault="009740A5">
      <w:pPr>
        <w:pStyle w:val="Heading3"/>
      </w:pPr>
      <w:r>
        <w:rPr>
          <w:color w:val="517489"/>
        </w:rPr>
        <w:t>Training, Consultation, and Workforce Development</w:t>
      </w:r>
    </w:p>
    <w:p w:rsidR="007E59EF" w:rsidRDefault="009740A5">
      <w:pPr>
        <w:pStyle w:val="ListParagraph"/>
        <w:numPr>
          <w:ilvl w:val="0"/>
          <w:numId w:val="3"/>
        </w:numPr>
        <w:tabs>
          <w:tab w:val="left" w:pos="1350"/>
        </w:tabs>
        <w:spacing w:before="235"/>
        <w:rPr>
          <w:i/>
          <w:sz w:val="20"/>
        </w:rPr>
      </w:pPr>
      <w:r>
        <w:rPr>
          <w:i/>
          <w:color w:val="414042"/>
          <w:sz w:val="20"/>
        </w:rPr>
        <w:t>Workforce Training and Certification – Overview of the National Wraparound Implementation</w:t>
      </w:r>
      <w:r>
        <w:rPr>
          <w:i/>
          <w:color w:val="414042"/>
          <w:spacing w:val="-8"/>
          <w:sz w:val="20"/>
        </w:rPr>
        <w:t xml:space="preserve"> </w:t>
      </w:r>
      <w:r>
        <w:rPr>
          <w:i/>
          <w:color w:val="414042"/>
          <w:sz w:val="20"/>
        </w:rPr>
        <w:t>Center</w:t>
      </w:r>
    </w:p>
    <w:p w:rsidR="007E59EF" w:rsidRDefault="009740A5">
      <w:pPr>
        <w:spacing w:before="70"/>
        <w:ind w:left="1350"/>
        <w:rPr>
          <w:i/>
          <w:sz w:val="20"/>
        </w:rPr>
      </w:pPr>
      <w:r>
        <w:rPr>
          <w:i/>
          <w:color w:val="414042"/>
          <w:sz w:val="20"/>
        </w:rPr>
        <w:t>(NWIC) approach</w:t>
      </w:r>
    </w:p>
    <w:p w:rsidR="007E59EF" w:rsidRDefault="007B7991">
      <w:pPr>
        <w:pStyle w:val="BodyText"/>
        <w:spacing w:before="185"/>
        <w:ind w:left="1420"/>
      </w:pPr>
      <w:hyperlink r:id="rId44">
        <w:r w:rsidR="009740A5">
          <w:rPr>
            <w:color w:val="517489"/>
            <w:u w:val="single" w:color="517489"/>
          </w:rPr>
          <w:t>https://www.nwic.org/workforce-development</w:t>
        </w:r>
      </w:hyperlink>
    </w:p>
    <w:p w:rsidR="007E59EF" w:rsidRDefault="007E59EF">
      <w:pPr>
        <w:pStyle w:val="BodyText"/>
        <w:spacing w:before="9"/>
        <w:rPr>
          <w:sz w:val="21"/>
        </w:rPr>
      </w:pPr>
    </w:p>
    <w:p w:rsidR="007E59EF" w:rsidRDefault="009740A5">
      <w:pPr>
        <w:pStyle w:val="ListParagraph"/>
        <w:numPr>
          <w:ilvl w:val="0"/>
          <w:numId w:val="3"/>
        </w:numPr>
        <w:tabs>
          <w:tab w:val="left" w:pos="1350"/>
        </w:tabs>
        <w:rPr>
          <w:i/>
          <w:sz w:val="20"/>
        </w:rPr>
      </w:pPr>
      <w:r>
        <w:rPr>
          <w:i/>
          <w:color w:val="414042"/>
          <w:sz w:val="20"/>
        </w:rPr>
        <w:t>Core Wraparound Trainings and Course</w:t>
      </w:r>
      <w:r>
        <w:rPr>
          <w:i/>
          <w:color w:val="414042"/>
          <w:spacing w:val="-1"/>
          <w:sz w:val="20"/>
        </w:rPr>
        <w:t xml:space="preserve"> </w:t>
      </w:r>
      <w:r>
        <w:rPr>
          <w:i/>
          <w:color w:val="414042"/>
          <w:sz w:val="20"/>
        </w:rPr>
        <w:t>Descriptions</w:t>
      </w:r>
    </w:p>
    <w:p w:rsidR="007E59EF" w:rsidRDefault="007B7991">
      <w:pPr>
        <w:pStyle w:val="BodyText"/>
        <w:spacing w:before="186"/>
        <w:ind w:left="1350"/>
      </w:pPr>
      <w:hyperlink r:id="rId45">
        <w:r w:rsidR="009740A5">
          <w:rPr>
            <w:color w:val="517489"/>
            <w:u w:val="single" w:color="517489"/>
          </w:rPr>
          <w:t>https://docs.wixstatic.com/ugd/272564_229abdf2f2b94459813d6a7e87fcd16f.pdf</w:t>
        </w:r>
      </w:hyperlink>
    </w:p>
    <w:p w:rsidR="007E59EF" w:rsidRDefault="007E59EF">
      <w:pPr>
        <w:pStyle w:val="BodyText"/>
        <w:spacing w:before="8"/>
        <w:rPr>
          <w:sz w:val="21"/>
        </w:rPr>
      </w:pPr>
    </w:p>
    <w:p w:rsidR="007E59EF" w:rsidRDefault="009740A5">
      <w:pPr>
        <w:pStyle w:val="ListParagraph"/>
        <w:numPr>
          <w:ilvl w:val="0"/>
          <w:numId w:val="3"/>
        </w:numPr>
        <w:tabs>
          <w:tab w:val="left" w:pos="1401"/>
        </w:tabs>
        <w:spacing w:before="1"/>
        <w:ind w:left="1400" w:hanging="320"/>
        <w:rPr>
          <w:sz w:val="20"/>
        </w:rPr>
      </w:pPr>
      <w:r>
        <w:rPr>
          <w:i/>
          <w:color w:val="414042"/>
          <w:sz w:val="20"/>
        </w:rPr>
        <w:t xml:space="preserve">National Wraparound Practitioner/Local Coach Certification Guide </w:t>
      </w:r>
      <w:r>
        <w:rPr>
          <w:color w:val="414042"/>
          <w:sz w:val="20"/>
        </w:rPr>
        <w:t>(only relevant for sites that</w:t>
      </w:r>
      <w:r>
        <w:rPr>
          <w:color w:val="414042"/>
          <w:spacing w:val="-9"/>
          <w:sz w:val="20"/>
        </w:rPr>
        <w:t xml:space="preserve"> </w:t>
      </w:r>
      <w:r>
        <w:rPr>
          <w:color w:val="414042"/>
          <w:sz w:val="20"/>
        </w:rPr>
        <w:t>contract</w:t>
      </w:r>
    </w:p>
    <w:p w:rsidR="007E59EF" w:rsidRDefault="009740A5">
      <w:pPr>
        <w:pStyle w:val="BodyText"/>
        <w:spacing w:before="70" w:line="434" w:lineRule="auto"/>
        <w:ind w:left="1420" w:right="3373"/>
      </w:pPr>
      <w:r>
        <w:rPr>
          <w:color w:val="414042"/>
        </w:rPr>
        <w:t xml:space="preserve">with NWIC for workforce development) </w:t>
      </w:r>
      <w:hyperlink r:id="rId46">
        <w:r>
          <w:rPr>
            <w:color w:val="517489"/>
            <w:u w:val="single" w:color="517489"/>
          </w:rPr>
          <w:t>https://docs.wixstatic.com/ugd/272564_90565cd33c2c4cabbaa970d389f5617e.pdf</w:t>
        </w:r>
      </w:hyperlink>
    </w:p>
    <w:p w:rsidR="007E59EF" w:rsidRDefault="009740A5">
      <w:pPr>
        <w:pStyle w:val="ListParagraph"/>
        <w:numPr>
          <w:ilvl w:val="0"/>
          <w:numId w:val="3"/>
        </w:numPr>
        <w:tabs>
          <w:tab w:val="left" w:pos="1401"/>
        </w:tabs>
        <w:spacing w:before="63"/>
        <w:ind w:left="1400" w:hanging="320"/>
        <w:rPr>
          <w:sz w:val="20"/>
        </w:rPr>
      </w:pPr>
      <w:r>
        <w:rPr>
          <w:i/>
          <w:color w:val="414042"/>
          <w:sz w:val="20"/>
        </w:rPr>
        <w:t xml:space="preserve">National Wraparound Practitioner: Continued Education and Certification Renewal Guide </w:t>
      </w:r>
      <w:r>
        <w:rPr>
          <w:color w:val="414042"/>
          <w:sz w:val="20"/>
        </w:rPr>
        <w:t>(only</w:t>
      </w:r>
      <w:r>
        <w:rPr>
          <w:color w:val="414042"/>
          <w:spacing w:val="-8"/>
          <w:sz w:val="20"/>
        </w:rPr>
        <w:t xml:space="preserve"> </w:t>
      </w:r>
      <w:r>
        <w:rPr>
          <w:color w:val="414042"/>
          <w:sz w:val="20"/>
        </w:rPr>
        <w:t>relevant</w:t>
      </w:r>
    </w:p>
    <w:p w:rsidR="007E59EF" w:rsidRDefault="009740A5">
      <w:pPr>
        <w:pStyle w:val="BodyText"/>
        <w:spacing w:before="70" w:line="434" w:lineRule="auto"/>
        <w:ind w:left="1420" w:right="3536"/>
      </w:pPr>
      <w:r>
        <w:rPr>
          <w:color w:val="414042"/>
        </w:rPr>
        <w:t xml:space="preserve">for sites that contract with NWIC for workforce development) </w:t>
      </w:r>
      <w:hyperlink r:id="rId47">
        <w:r>
          <w:rPr>
            <w:color w:val="517489"/>
            <w:u w:val="single" w:color="517489"/>
          </w:rPr>
          <w:t>https://depts.washington.edu/wrapeval/content/evaluation-training-and-coaching</w:t>
        </w:r>
      </w:hyperlink>
    </w:p>
    <w:p w:rsidR="007E59EF" w:rsidRDefault="007E59EF">
      <w:pPr>
        <w:spacing w:line="434" w:lineRule="auto"/>
        <w:sectPr w:rsidR="007E59EF">
          <w:footerReference w:type="default" r:id="rId48"/>
          <w:pgSz w:w="12240" w:h="15840"/>
          <w:pgMar w:top="940" w:right="0" w:bottom="580" w:left="0" w:header="0" w:footer="388" w:gutter="0"/>
          <w:pgNumType w:start="7"/>
          <w:cols w:space="720"/>
        </w:sectPr>
      </w:pPr>
    </w:p>
    <w:p w:rsidR="007E59EF" w:rsidRDefault="009740A5">
      <w:pPr>
        <w:pStyle w:val="ListParagraph"/>
        <w:numPr>
          <w:ilvl w:val="0"/>
          <w:numId w:val="3"/>
        </w:numPr>
        <w:tabs>
          <w:tab w:val="left" w:pos="1401"/>
        </w:tabs>
        <w:spacing w:before="83" w:line="314" w:lineRule="auto"/>
        <w:ind w:left="1420" w:right="1796" w:hanging="340"/>
        <w:jc w:val="both"/>
        <w:rPr>
          <w:sz w:val="20"/>
        </w:rPr>
      </w:pPr>
      <w:r>
        <w:rPr>
          <w:i/>
          <w:color w:val="414042"/>
          <w:sz w:val="20"/>
        </w:rPr>
        <w:lastRenderedPageBreak/>
        <w:t xml:space="preserve">Data-Informed Coaching and Skill Development: </w:t>
      </w:r>
      <w:r>
        <w:rPr>
          <w:color w:val="414042"/>
          <w:sz w:val="20"/>
        </w:rPr>
        <w:t>NWIC Wraparound Practice Improvement Tools: The Coaching Observation Measure for Effective Teamwork (COMET) and Impact of Training and</w:t>
      </w:r>
      <w:r>
        <w:rPr>
          <w:color w:val="414042"/>
          <w:spacing w:val="-24"/>
          <w:sz w:val="20"/>
        </w:rPr>
        <w:t xml:space="preserve"> </w:t>
      </w:r>
      <w:r>
        <w:rPr>
          <w:color w:val="414042"/>
          <w:sz w:val="20"/>
        </w:rPr>
        <w:t>Technical Assistance</w:t>
      </w:r>
      <w:r>
        <w:rPr>
          <w:color w:val="414042"/>
          <w:spacing w:val="-1"/>
          <w:sz w:val="20"/>
        </w:rPr>
        <w:t xml:space="preserve"> </w:t>
      </w:r>
      <w:r>
        <w:rPr>
          <w:color w:val="414042"/>
          <w:sz w:val="20"/>
        </w:rPr>
        <w:t>(IOTTA)</w:t>
      </w:r>
    </w:p>
    <w:p w:rsidR="007E59EF" w:rsidRDefault="007B7991">
      <w:pPr>
        <w:pStyle w:val="BodyText"/>
        <w:spacing w:before="112"/>
        <w:ind w:left="1440"/>
      </w:pPr>
      <w:hyperlink r:id="rId49">
        <w:r w:rsidR="009740A5">
          <w:rPr>
            <w:color w:val="517489"/>
            <w:u w:val="single" w:color="517489"/>
          </w:rPr>
          <w:t>https://depts.washington.edu/wrapeval/content/evaluation-training-and-coaching</w:t>
        </w:r>
      </w:hyperlink>
    </w:p>
    <w:p w:rsidR="007E59EF" w:rsidRDefault="007E59EF">
      <w:pPr>
        <w:pStyle w:val="BodyText"/>
        <w:spacing w:before="4"/>
        <w:rPr>
          <w:sz w:val="26"/>
        </w:rPr>
      </w:pPr>
    </w:p>
    <w:p w:rsidR="007E59EF" w:rsidRDefault="009740A5">
      <w:pPr>
        <w:pStyle w:val="Heading3"/>
        <w:spacing w:before="1"/>
      </w:pPr>
      <w:r>
        <w:rPr>
          <w:color w:val="517489"/>
        </w:rPr>
        <w:t>Wraparound Fidelity Assessment System (WFAS) Tools</w:t>
      </w:r>
    </w:p>
    <w:p w:rsidR="007E59EF" w:rsidRDefault="009740A5">
      <w:pPr>
        <w:pStyle w:val="ListParagraph"/>
        <w:numPr>
          <w:ilvl w:val="0"/>
          <w:numId w:val="3"/>
        </w:numPr>
        <w:tabs>
          <w:tab w:val="left" w:pos="1420"/>
        </w:tabs>
        <w:spacing w:before="235" w:line="314" w:lineRule="auto"/>
        <w:ind w:left="1420" w:right="1364" w:hanging="340"/>
        <w:rPr>
          <w:sz w:val="11"/>
        </w:rPr>
      </w:pPr>
      <w:r>
        <w:rPr>
          <w:i/>
          <w:color w:val="414042"/>
          <w:sz w:val="20"/>
        </w:rPr>
        <w:t>Wraparound Fidelity Index – Short Version (WFI-EZ).</w:t>
      </w:r>
      <w:r>
        <w:rPr>
          <w:color w:val="414042"/>
          <w:position w:val="7"/>
          <w:sz w:val="11"/>
        </w:rPr>
        <w:t xml:space="preserve">10 </w:t>
      </w:r>
      <w:r>
        <w:rPr>
          <w:color w:val="414042"/>
          <w:sz w:val="20"/>
        </w:rPr>
        <w:t xml:space="preserve">Self-reported surveys completed by team members. Versions are available in Spanish and English for the Youth, Care Coordinator, Caregiver and other </w:t>
      </w:r>
      <w:r>
        <w:rPr>
          <w:color w:val="414042"/>
          <w:spacing w:val="-3"/>
          <w:sz w:val="20"/>
        </w:rPr>
        <w:t xml:space="preserve">Team </w:t>
      </w:r>
      <w:r>
        <w:rPr>
          <w:color w:val="414042"/>
          <w:sz w:val="20"/>
        </w:rPr>
        <w:t>members. Well-established validity and reliability.</w:t>
      </w:r>
      <w:r>
        <w:rPr>
          <w:color w:val="414042"/>
          <w:position w:val="7"/>
          <w:sz w:val="11"/>
        </w:rPr>
        <w:t>11,12,13</w:t>
      </w:r>
    </w:p>
    <w:p w:rsidR="007E59EF" w:rsidRDefault="007B7991">
      <w:pPr>
        <w:pStyle w:val="BodyText"/>
        <w:spacing w:before="112" w:line="314" w:lineRule="auto"/>
        <w:ind w:left="1440" w:right="4806"/>
      </w:pPr>
      <w:hyperlink r:id="rId50">
        <w:r w:rsidR="009740A5">
          <w:rPr>
            <w:color w:val="517489"/>
            <w:u w:val="single" w:color="517489"/>
          </w:rPr>
          <w:t>https://depts.washington.edu/wrapeval/training-material-category/</w:t>
        </w:r>
      </w:hyperlink>
      <w:r w:rsidR="009740A5">
        <w:rPr>
          <w:color w:val="517489"/>
        </w:rPr>
        <w:t xml:space="preserve"> </w:t>
      </w:r>
      <w:hyperlink r:id="rId51">
        <w:r w:rsidR="009740A5">
          <w:rPr>
            <w:color w:val="517489"/>
            <w:u w:val="single" w:color="517489"/>
          </w:rPr>
          <w:t>wraparound-fidelity-index-short-version-wfi-ez</w:t>
        </w:r>
      </w:hyperlink>
    </w:p>
    <w:p w:rsidR="007E59EF" w:rsidRDefault="009740A5">
      <w:pPr>
        <w:pStyle w:val="ListParagraph"/>
        <w:numPr>
          <w:ilvl w:val="0"/>
          <w:numId w:val="3"/>
        </w:numPr>
        <w:tabs>
          <w:tab w:val="left" w:pos="1420"/>
        </w:tabs>
        <w:spacing w:before="178" w:line="314" w:lineRule="auto"/>
        <w:ind w:left="1420" w:right="1360" w:hanging="340"/>
        <w:rPr>
          <w:sz w:val="20"/>
        </w:rPr>
      </w:pPr>
      <w:r>
        <w:rPr>
          <w:i/>
          <w:color w:val="414042"/>
          <w:spacing w:val="-4"/>
          <w:sz w:val="20"/>
        </w:rPr>
        <w:t xml:space="preserve">Team </w:t>
      </w:r>
      <w:r>
        <w:rPr>
          <w:i/>
          <w:color w:val="414042"/>
          <w:sz w:val="20"/>
        </w:rPr>
        <w:t>Observation Measure 2.0 (TOM 2.0).</w:t>
      </w:r>
      <w:r>
        <w:rPr>
          <w:color w:val="414042"/>
          <w:position w:val="7"/>
          <w:sz w:val="11"/>
        </w:rPr>
        <w:t xml:space="preserve">10 </w:t>
      </w:r>
      <w:r>
        <w:rPr>
          <w:color w:val="414042"/>
          <w:sz w:val="20"/>
        </w:rPr>
        <w:t>Observational measure of model adherence with well- established reliability and validity.</w:t>
      </w:r>
      <w:r>
        <w:rPr>
          <w:color w:val="414042"/>
          <w:position w:val="7"/>
          <w:sz w:val="11"/>
        </w:rPr>
        <w:t xml:space="preserve">14 </w:t>
      </w:r>
      <w:r>
        <w:rPr>
          <w:color w:val="414042"/>
          <w:sz w:val="20"/>
        </w:rPr>
        <w:t>Link below provides the tool, training protocol, training videos, training PowerPoint, and User manual. Must pass a test to become a certified</w:t>
      </w:r>
      <w:r>
        <w:rPr>
          <w:color w:val="414042"/>
          <w:spacing w:val="-2"/>
          <w:sz w:val="20"/>
        </w:rPr>
        <w:t xml:space="preserve"> </w:t>
      </w:r>
      <w:r>
        <w:rPr>
          <w:color w:val="414042"/>
          <w:sz w:val="20"/>
        </w:rPr>
        <w:t>user.</w:t>
      </w:r>
    </w:p>
    <w:p w:rsidR="007E59EF" w:rsidRDefault="007B7991">
      <w:pPr>
        <w:pStyle w:val="BodyText"/>
        <w:spacing w:before="112"/>
        <w:ind w:left="1420"/>
      </w:pPr>
      <w:hyperlink r:id="rId52">
        <w:r w:rsidR="009740A5">
          <w:rPr>
            <w:color w:val="517489"/>
            <w:u w:val="single" w:color="517489"/>
          </w:rPr>
          <w:t>https://depts.washington.edu/wrapeval/training-material-category/team-observation-measure-tom</w:t>
        </w:r>
      </w:hyperlink>
    </w:p>
    <w:p w:rsidR="007E59EF" w:rsidRDefault="007E59EF">
      <w:pPr>
        <w:pStyle w:val="BodyText"/>
        <w:spacing w:before="9"/>
        <w:rPr>
          <w:sz w:val="21"/>
        </w:rPr>
      </w:pPr>
    </w:p>
    <w:p w:rsidR="007E59EF" w:rsidRDefault="009740A5">
      <w:pPr>
        <w:pStyle w:val="ListParagraph"/>
        <w:numPr>
          <w:ilvl w:val="0"/>
          <w:numId w:val="3"/>
        </w:numPr>
        <w:tabs>
          <w:tab w:val="left" w:pos="1420"/>
        </w:tabs>
        <w:spacing w:line="314" w:lineRule="auto"/>
        <w:ind w:left="1420" w:right="1269" w:hanging="340"/>
        <w:rPr>
          <w:sz w:val="20"/>
        </w:rPr>
      </w:pPr>
      <w:r>
        <w:rPr>
          <w:i/>
          <w:color w:val="414042"/>
          <w:sz w:val="20"/>
        </w:rPr>
        <w:t xml:space="preserve">Document Assessment and Review </w:t>
      </w:r>
      <w:r>
        <w:rPr>
          <w:i/>
          <w:color w:val="414042"/>
          <w:spacing w:val="-4"/>
          <w:sz w:val="20"/>
        </w:rPr>
        <w:t xml:space="preserve">Tool </w:t>
      </w:r>
      <w:r>
        <w:rPr>
          <w:i/>
          <w:color w:val="414042"/>
          <w:sz w:val="20"/>
        </w:rPr>
        <w:t>(DART).</w:t>
      </w:r>
      <w:r>
        <w:rPr>
          <w:color w:val="414042"/>
          <w:position w:val="7"/>
          <w:sz w:val="11"/>
        </w:rPr>
        <w:t xml:space="preserve">10 </w:t>
      </w:r>
      <w:r>
        <w:rPr>
          <w:color w:val="414042"/>
          <w:sz w:val="20"/>
        </w:rPr>
        <w:t>Link below provides access to the DART User Manual, The DART</w:t>
      </w:r>
      <w:r>
        <w:rPr>
          <w:color w:val="414042"/>
          <w:spacing w:val="-1"/>
          <w:sz w:val="20"/>
        </w:rPr>
        <w:t xml:space="preserve"> </w:t>
      </w:r>
      <w:r>
        <w:rPr>
          <w:color w:val="414042"/>
          <w:sz w:val="20"/>
        </w:rPr>
        <w:t>Tool/Form.</w:t>
      </w:r>
    </w:p>
    <w:p w:rsidR="007E59EF" w:rsidRDefault="007B7991">
      <w:pPr>
        <w:pStyle w:val="BodyText"/>
        <w:spacing w:before="113"/>
        <w:ind w:left="1420"/>
      </w:pPr>
      <w:hyperlink r:id="rId53">
        <w:r w:rsidR="009740A5">
          <w:rPr>
            <w:color w:val="517489"/>
            <w:u w:val="single" w:color="517489"/>
          </w:rPr>
          <w:t>https://depts.washington.edu/wrapeval/training-material-categories/</w:t>
        </w:r>
      </w:hyperlink>
    </w:p>
    <w:p w:rsidR="007E59EF" w:rsidRDefault="007B7991">
      <w:pPr>
        <w:pStyle w:val="BodyText"/>
        <w:spacing w:before="70"/>
        <w:ind w:left="1420"/>
      </w:pPr>
      <w:hyperlink r:id="rId54">
        <w:r w:rsidR="009740A5">
          <w:rPr>
            <w:color w:val="517489"/>
            <w:u w:val="single" w:color="517489"/>
          </w:rPr>
          <w:t>document-assessment-and-review-tool-dart</w:t>
        </w:r>
      </w:hyperlink>
    </w:p>
    <w:p w:rsidR="007E59EF" w:rsidRDefault="007E59EF">
      <w:pPr>
        <w:pStyle w:val="BodyText"/>
        <w:spacing w:before="5"/>
        <w:rPr>
          <w:sz w:val="26"/>
        </w:rPr>
      </w:pPr>
    </w:p>
    <w:p w:rsidR="007E59EF" w:rsidRDefault="009740A5">
      <w:pPr>
        <w:pStyle w:val="Heading3"/>
      </w:pPr>
      <w:r>
        <w:rPr>
          <w:color w:val="517489"/>
        </w:rPr>
        <w:t>Conferences</w:t>
      </w:r>
    </w:p>
    <w:p w:rsidR="007E59EF" w:rsidRDefault="009740A5">
      <w:pPr>
        <w:pStyle w:val="ListParagraph"/>
        <w:numPr>
          <w:ilvl w:val="0"/>
          <w:numId w:val="3"/>
        </w:numPr>
        <w:tabs>
          <w:tab w:val="left" w:pos="1420"/>
        </w:tabs>
        <w:spacing w:before="235" w:line="314" w:lineRule="auto"/>
        <w:ind w:left="1420" w:right="1089" w:hanging="340"/>
        <w:rPr>
          <w:sz w:val="20"/>
        </w:rPr>
      </w:pPr>
      <w:r>
        <w:rPr>
          <w:i/>
          <w:color w:val="414042"/>
          <w:sz w:val="20"/>
        </w:rPr>
        <w:t xml:space="preserve">National Wraparound Implementation Academy, Baltimore Maryland. </w:t>
      </w:r>
      <w:r>
        <w:rPr>
          <w:color w:val="414042"/>
          <w:sz w:val="20"/>
        </w:rPr>
        <w:t>Bi-annual training event that</w:t>
      </w:r>
      <w:r>
        <w:rPr>
          <w:color w:val="414042"/>
          <w:spacing w:val="-17"/>
          <w:sz w:val="20"/>
        </w:rPr>
        <w:t xml:space="preserve"> </w:t>
      </w:r>
      <w:r>
        <w:rPr>
          <w:color w:val="414042"/>
          <w:sz w:val="20"/>
        </w:rPr>
        <w:t>convenes wraparound staff (care coordinators, parent and youth partners), supervisors, mangers, administrators,</w:t>
      </w:r>
    </w:p>
    <w:p w:rsidR="007E59EF" w:rsidRDefault="009740A5">
      <w:pPr>
        <w:pStyle w:val="BodyText"/>
        <w:spacing w:line="314" w:lineRule="auto"/>
        <w:ind w:left="1420" w:right="1196"/>
      </w:pPr>
      <w:r>
        <w:rPr>
          <w:color w:val="414042"/>
        </w:rPr>
        <w:t>policy makers, researchers, and evaluators to receive skills-based training and learn from the field’s foremost experts in Wraparound and Systems of Care.</w:t>
      </w:r>
    </w:p>
    <w:p w:rsidR="007E59EF" w:rsidRDefault="007B7991">
      <w:pPr>
        <w:pStyle w:val="BodyText"/>
        <w:spacing w:before="111" w:line="434" w:lineRule="auto"/>
        <w:ind w:left="1420" w:right="7047"/>
      </w:pPr>
      <w:hyperlink r:id="rId55">
        <w:r w:rsidR="009740A5">
          <w:rPr>
            <w:color w:val="517489"/>
            <w:u w:val="single" w:color="517489"/>
          </w:rPr>
          <w:t>https://www.nwic.org/2019-academy</w:t>
        </w:r>
      </w:hyperlink>
      <w:r w:rsidR="009740A5">
        <w:rPr>
          <w:color w:val="517489"/>
        </w:rPr>
        <w:t xml:space="preserve"> </w:t>
      </w:r>
      <w:hyperlink r:id="rId56">
        <w:r w:rsidR="009740A5">
          <w:rPr>
            <w:color w:val="517489"/>
            <w:u w:val="single" w:color="517489"/>
          </w:rPr>
          <w:t>https://www.nwic.org/previous-academies</w:t>
        </w:r>
      </w:hyperlink>
    </w:p>
    <w:p w:rsidR="007E59EF" w:rsidRDefault="007E59EF">
      <w:pPr>
        <w:pStyle w:val="BodyText"/>
      </w:pPr>
    </w:p>
    <w:p w:rsidR="007E59EF" w:rsidRDefault="007E59EF">
      <w:pPr>
        <w:pStyle w:val="BodyText"/>
      </w:pPr>
    </w:p>
    <w:p w:rsidR="007E59EF" w:rsidRDefault="007B7991">
      <w:pPr>
        <w:pStyle w:val="BodyText"/>
        <w:spacing w:before="2"/>
        <w:rPr>
          <w:sz w:val="19"/>
        </w:rPr>
      </w:pPr>
      <w:r>
        <w:pict>
          <v:line id="_x0000_s1053" style="position:absolute;z-index:1360;mso-wrap-distance-left:0;mso-wrap-distance-right:0;mso-position-horizontal-relative:page" from="54pt,13.5pt" to="558pt,13.5pt" strokecolor="#8dbfd0" strokeweight="1pt">
            <w10:wrap type="topAndBottom" anchorx="page"/>
          </v:line>
        </w:pict>
      </w:r>
    </w:p>
    <w:p w:rsidR="007E59EF" w:rsidRDefault="007E59EF">
      <w:pPr>
        <w:pStyle w:val="BodyText"/>
        <w:spacing w:before="10"/>
        <w:rPr>
          <w:sz w:val="9"/>
        </w:rPr>
      </w:pPr>
    </w:p>
    <w:p w:rsidR="007E59EF" w:rsidRDefault="007E59EF">
      <w:pPr>
        <w:rPr>
          <w:sz w:val="9"/>
        </w:rPr>
        <w:sectPr w:rsidR="007E59EF">
          <w:pgSz w:w="12240" w:h="15840"/>
          <w:pgMar w:top="960" w:right="0" w:bottom="780" w:left="0" w:header="0" w:footer="388" w:gutter="0"/>
          <w:cols w:space="720"/>
        </w:sectPr>
      </w:pPr>
    </w:p>
    <w:p w:rsidR="007E59EF" w:rsidRDefault="009740A5">
      <w:pPr>
        <w:pStyle w:val="ListParagraph"/>
        <w:numPr>
          <w:ilvl w:val="0"/>
          <w:numId w:val="2"/>
        </w:numPr>
        <w:tabs>
          <w:tab w:val="left" w:pos="1321"/>
        </w:tabs>
        <w:spacing w:before="96" w:line="278" w:lineRule="auto"/>
        <w:ind w:right="296" w:hanging="240"/>
        <w:jc w:val="left"/>
        <w:rPr>
          <w:sz w:val="15"/>
        </w:rPr>
      </w:pPr>
      <w:r>
        <w:rPr>
          <w:color w:val="414042"/>
          <w:sz w:val="15"/>
        </w:rPr>
        <w:t>Available for use via license with the University of Washington, Wraparound Evaluation and Research Team (see:</w:t>
      </w:r>
      <w:r>
        <w:rPr>
          <w:color w:val="517489"/>
          <w:sz w:val="15"/>
        </w:rPr>
        <w:t xml:space="preserve"> </w:t>
      </w:r>
      <w:hyperlink r:id="rId57">
        <w:r>
          <w:rPr>
            <w:color w:val="517489"/>
            <w:sz w:val="15"/>
            <w:u w:val="single" w:color="517489"/>
          </w:rPr>
          <w:t>https://depts</w:t>
        </w:r>
        <w:r>
          <w:rPr>
            <w:color w:val="517489"/>
            <w:sz w:val="15"/>
          </w:rPr>
          <w:t>.</w:t>
        </w:r>
      </w:hyperlink>
      <w:hyperlink r:id="rId58">
        <w:r>
          <w:rPr>
            <w:color w:val="517489"/>
            <w:sz w:val="15"/>
            <w:u w:val="single" w:color="517489"/>
          </w:rPr>
          <w:t xml:space="preserve"> washington.edu/wrapeval/content/becoming-wfas-collaborator</w:t>
        </w:r>
      </w:hyperlink>
      <w:r>
        <w:rPr>
          <w:color w:val="414042"/>
          <w:sz w:val="15"/>
        </w:rPr>
        <w:t>)</w:t>
      </w:r>
    </w:p>
    <w:p w:rsidR="007E59EF" w:rsidRDefault="009740A5">
      <w:pPr>
        <w:pStyle w:val="ListParagraph"/>
        <w:numPr>
          <w:ilvl w:val="0"/>
          <w:numId w:val="2"/>
        </w:numPr>
        <w:tabs>
          <w:tab w:val="left" w:pos="1321"/>
        </w:tabs>
        <w:spacing w:before="116"/>
        <w:ind w:hanging="240"/>
        <w:jc w:val="left"/>
        <w:rPr>
          <w:sz w:val="15"/>
        </w:rPr>
      </w:pPr>
      <w:r>
        <w:rPr>
          <w:color w:val="414042"/>
          <w:sz w:val="15"/>
        </w:rPr>
        <w:t>Bruns, E. J., Burchard, J. D., Suter, J. C., Leverentz-Brady, K., &amp;</w:t>
      </w:r>
      <w:r>
        <w:rPr>
          <w:color w:val="414042"/>
          <w:spacing w:val="-6"/>
          <w:sz w:val="15"/>
        </w:rPr>
        <w:t xml:space="preserve"> </w:t>
      </w:r>
      <w:r>
        <w:rPr>
          <w:color w:val="414042"/>
          <w:sz w:val="15"/>
        </w:rPr>
        <w:t>Force,</w:t>
      </w:r>
    </w:p>
    <w:p w:rsidR="007E59EF" w:rsidRDefault="009740A5">
      <w:pPr>
        <w:spacing w:before="27" w:line="278" w:lineRule="auto"/>
        <w:ind w:left="1320" w:right="-16"/>
        <w:rPr>
          <w:sz w:val="15"/>
        </w:rPr>
      </w:pPr>
      <w:r>
        <w:rPr>
          <w:color w:val="414042"/>
          <w:sz w:val="15"/>
        </w:rPr>
        <w:t xml:space="preserve">M. (2004). Assessing fidelity to a community-based treatment for youth: the Wraparound Fidelity Index. </w:t>
      </w:r>
      <w:r>
        <w:rPr>
          <w:i/>
          <w:color w:val="414042"/>
          <w:sz w:val="15"/>
        </w:rPr>
        <w:t>Journal of Emotional and Behavioral Disorders, 12</w:t>
      </w:r>
      <w:r>
        <w:rPr>
          <w:color w:val="414042"/>
          <w:sz w:val="15"/>
        </w:rPr>
        <w:t>(2), 79–89.</w:t>
      </w:r>
      <w:r>
        <w:rPr>
          <w:color w:val="517489"/>
          <w:spacing w:val="-6"/>
          <w:sz w:val="15"/>
        </w:rPr>
        <w:t xml:space="preserve"> </w:t>
      </w:r>
      <w:hyperlink r:id="rId59">
        <w:r>
          <w:rPr>
            <w:color w:val="517489"/>
            <w:sz w:val="15"/>
            <w:u w:val="single" w:color="517489"/>
          </w:rPr>
          <w:t>https://doi.org/10.1177/10634266</w:t>
        </w:r>
      </w:hyperlink>
      <w:hyperlink r:id="rId60">
        <w:r>
          <w:rPr>
            <w:color w:val="517489"/>
            <w:sz w:val="15"/>
            <w:u w:val="single" w:color="517489"/>
          </w:rPr>
          <w:t xml:space="preserve"> 040120020201</w:t>
        </w:r>
      </w:hyperlink>
    </w:p>
    <w:p w:rsidR="007E59EF" w:rsidRDefault="009740A5">
      <w:pPr>
        <w:pStyle w:val="ListParagraph"/>
        <w:numPr>
          <w:ilvl w:val="0"/>
          <w:numId w:val="2"/>
        </w:numPr>
        <w:tabs>
          <w:tab w:val="left" w:pos="1321"/>
        </w:tabs>
        <w:spacing w:before="116" w:line="278" w:lineRule="auto"/>
        <w:ind w:right="301" w:hanging="240"/>
        <w:jc w:val="left"/>
        <w:rPr>
          <w:sz w:val="15"/>
        </w:rPr>
      </w:pPr>
      <w:r>
        <w:rPr>
          <w:color w:val="414042"/>
          <w:sz w:val="15"/>
        </w:rPr>
        <w:t xml:space="preserve">Bruns, E. J., Suter, J. C., &amp; Leverentz-Brady, K. M. (2008). Is it wraparound yet? Setting fidelity standards for the wraparound process. </w:t>
      </w:r>
      <w:r>
        <w:rPr>
          <w:i/>
          <w:color w:val="414042"/>
          <w:sz w:val="15"/>
        </w:rPr>
        <w:t>Journal of Behavioral Health Services and Research,</w:t>
      </w:r>
      <w:r>
        <w:rPr>
          <w:i/>
          <w:color w:val="414042"/>
          <w:spacing w:val="-9"/>
          <w:sz w:val="15"/>
        </w:rPr>
        <w:t xml:space="preserve"> </w:t>
      </w:r>
      <w:r>
        <w:rPr>
          <w:i/>
          <w:color w:val="414042"/>
          <w:sz w:val="15"/>
        </w:rPr>
        <w:t>35</w:t>
      </w:r>
      <w:r>
        <w:rPr>
          <w:color w:val="414042"/>
          <w:sz w:val="15"/>
        </w:rPr>
        <w:t>(3), 240–252.</w:t>
      </w:r>
      <w:r>
        <w:rPr>
          <w:color w:val="517489"/>
          <w:spacing w:val="-1"/>
          <w:sz w:val="15"/>
        </w:rPr>
        <w:t xml:space="preserve"> </w:t>
      </w:r>
      <w:hyperlink r:id="rId61">
        <w:r>
          <w:rPr>
            <w:color w:val="517489"/>
            <w:sz w:val="15"/>
            <w:u w:val="single" w:color="517489"/>
          </w:rPr>
          <w:t>https://doi.org/10.1007/s11414-008-9109-3</w:t>
        </w:r>
      </w:hyperlink>
    </w:p>
    <w:p w:rsidR="007E59EF" w:rsidRDefault="009740A5">
      <w:pPr>
        <w:pStyle w:val="ListParagraph"/>
        <w:numPr>
          <w:ilvl w:val="0"/>
          <w:numId w:val="2"/>
        </w:numPr>
        <w:tabs>
          <w:tab w:val="left" w:pos="594"/>
        </w:tabs>
        <w:spacing w:before="96" w:line="278" w:lineRule="auto"/>
        <w:ind w:left="593" w:right="1133" w:hanging="240"/>
        <w:jc w:val="left"/>
        <w:rPr>
          <w:sz w:val="15"/>
        </w:rPr>
      </w:pPr>
      <w:r>
        <w:rPr>
          <w:color w:val="414042"/>
          <w:sz w:val="15"/>
        </w:rPr>
        <w:br w:type="column"/>
      </w:r>
      <w:r>
        <w:rPr>
          <w:color w:val="414042"/>
          <w:sz w:val="15"/>
        </w:rPr>
        <w:t>Pullmann, M. D., Bruns, E. J., &amp; Sather, A. K. (2013). Evaluating</w:t>
      </w:r>
      <w:r>
        <w:rPr>
          <w:color w:val="414042"/>
          <w:spacing w:val="-8"/>
          <w:sz w:val="15"/>
        </w:rPr>
        <w:t xml:space="preserve"> </w:t>
      </w:r>
      <w:r>
        <w:rPr>
          <w:color w:val="414042"/>
          <w:sz w:val="15"/>
        </w:rPr>
        <w:t xml:space="preserve">fidelity to the wraparound service model for youth: Application of item response theory to the Wraparound Fidelity Index. </w:t>
      </w:r>
      <w:r>
        <w:rPr>
          <w:i/>
          <w:color w:val="414042"/>
          <w:sz w:val="15"/>
        </w:rPr>
        <w:t>Psychological Assessment, 25</w:t>
      </w:r>
      <w:r>
        <w:rPr>
          <w:color w:val="414042"/>
          <w:sz w:val="15"/>
        </w:rPr>
        <w:t>(2), 583–598.</w:t>
      </w:r>
      <w:r>
        <w:rPr>
          <w:color w:val="517489"/>
          <w:spacing w:val="-1"/>
          <w:sz w:val="15"/>
        </w:rPr>
        <w:t xml:space="preserve"> </w:t>
      </w:r>
      <w:hyperlink r:id="rId62">
        <w:r>
          <w:rPr>
            <w:color w:val="517489"/>
            <w:sz w:val="15"/>
            <w:u w:val="single" w:color="517489"/>
          </w:rPr>
          <w:t>https://doi.org/10.1037/a0031864</w:t>
        </w:r>
      </w:hyperlink>
    </w:p>
    <w:p w:rsidR="007E59EF" w:rsidRDefault="009740A5">
      <w:pPr>
        <w:pStyle w:val="ListParagraph"/>
        <w:numPr>
          <w:ilvl w:val="0"/>
          <w:numId w:val="2"/>
        </w:numPr>
        <w:tabs>
          <w:tab w:val="left" w:pos="594"/>
        </w:tabs>
        <w:spacing w:before="116" w:line="278" w:lineRule="auto"/>
        <w:ind w:left="593" w:right="1258" w:hanging="240"/>
        <w:jc w:val="left"/>
        <w:rPr>
          <w:i/>
          <w:sz w:val="15"/>
        </w:rPr>
      </w:pPr>
      <w:r>
        <w:rPr>
          <w:color w:val="414042"/>
          <w:sz w:val="15"/>
        </w:rPr>
        <w:t xml:space="preserve">Bruns, E. J., Weathers, E. S., Suter, J. C., Hensley, S., Pullmann, M. D., &amp; Sather, A. (2014). Psychometrics, reliability, and validity of a wraparound team observation measure. </w:t>
      </w:r>
      <w:r>
        <w:rPr>
          <w:i/>
          <w:color w:val="414042"/>
          <w:sz w:val="15"/>
        </w:rPr>
        <w:t>Journal of Child and</w:t>
      </w:r>
      <w:r>
        <w:rPr>
          <w:i/>
          <w:color w:val="414042"/>
          <w:spacing w:val="-4"/>
          <w:sz w:val="15"/>
        </w:rPr>
        <w:t xml:space="preserve"> </w:t>
      </w:r>
      <w:r>
        <w:rPr>
          <w:i/>
          <w:color w:val="414042"/>
          <w:sz w:val="15"/>
        </w:rPr>
        <w:t>Family</w:t>
      </w:r>
    </w:p>
    <w:p w:rsidR="007E59EF" w:rsidRDefault="009740A5">
      <w:pPr>
        <w:ind w:left="593"/>
        <w:rPr>
          <w:sz w:val="15"/>
        </w:rPr>
      </w:pPr>
      <w:r>
        <w:rPr>
          <w:i/>
          <w:color w:val="414042"/>
          <w:sz w:val="15"/>
        </w:rPr>
        <w:t>Studies, 24</w:t>
      </w:r>
      <w:r>
        <w:rPr>
          <w:color w:val="414042"/>
          <w:sz w:val="15"/>
        </w:rPr>
        <w:t xml:space="preserve">(4), 979–991. </w:t>
      </w:r>
      <w:hyperlink r:id="rId63">
        <w:r>
          <w:rPr>
            <w:color w:val="517489"/>
            <w:sz w:val="15"/>
            <w:u w:val="single" w:color="517489"/>
          </w:rPr>
          <w:t>https://doi.org/10.1007/s10826-014-9908-5</w:t>
        </w:r>
      </w:hyperlink>
    </w:p>
    <w:p w:rsidR="007E59EF" w:rsidRDefault="007E59EF">
      <w:pPr>
        <w:rPr>
          <w:sz w:val="15"/>
        </w:rPr>
        <w:sectPr w:rsidR="007E59EF">
          <w:type w:val="continuous"/>
          <w:pgSz w:w="12240" w:h="15840"/>
          <w:pgMar w:top="0" w:right="0" w:bottom="780" w:left="0" w:header="720" w:footer="720" w:gutter="0"/>
          <w:cols w:num="2" w:space="720" w:equalWidth="0">
            <w:col w:w="5907" w:space="40"/>
            <w:col w:w="6293"/>
          </w:cols>
        </w:sectPr>
      </w:pPr>
    </w:p>
    <w:p w:rsidR="007E59EF" w:rsidRDefault="009740A5">
      <w:pPr>
        <w:pStyle w:val="ListParagraph"/>
        <w:numPr>
          <w:ilvl w:val="0"/>
          <w:numId w:val="4"/>
        </w:numPr>
        <w:tabs>
          <w:tab w:val="left" w:pos="1448"/>
        </w:tabs>
        <w:spacing w:before="77"/>
        <w:ind w:left="1447" w:hanging="367"/>
        <w:rPr>
          <w:rFonts w:ascii="Ubuntu"/>
          <w:i/>
          <w:sz w:val="34"/>
        </w:rPr>
      </w:pPr>
      <w:r>
        <w:rPr>
          <w:rFonts w:ascii="Ubuntu"/>
          <w:color w:val="517489"/>
          <w:spacing w:val="-4"/>
          <w:sz w:val="34"/>
        </w:rPr>
        <w:lastRenderedPageBreak/>
        <w:t xml:space="preserve">Research Studies </w:t>
      </w:r>
      <w:r>
        <w:rPr>
          <w:rFonts w:ascii="Ubuntu"/>
          <w:color w:val="517489"/>
          <w:spacing w:val="-5"/>
          <w:sz w:val="34"/>
        </w:rPr>
        <w:t xml:space="preserve">Supportive </w:t>
      </w:r>
      <w:r>
        <w:rPr>
          <w:rFonts w:ascii="Ubuntu"/>
          <w:color w:val="517489"/>
          <w:sz w:val="34"/>
        </w:rPr>
        <w:t xml:space="preserve">of </w:t>
      </w:r>
      <w:r>
        <w:rPr>
          <w:rFonts w:ascii="Ubuntu"/>
          <w:i/>
          <w:color w:val="517489"/>
          <w:spacing w:val="-4"/>
          <w:sz w:val="34"/>
        </w:rPr>
        <w:t>Intensive</w:t>
      </w:r>
      <w:r>
        <w:rPr>
          <w:rFonts w:ascii="Ubuntu"/>
          <w:i/>
          <w:color w:val="517489"/>
          <w:spacing w:val="-21"/>
          <w:sz w:val="34"/>
        </w:rPr>
        <w:t xml:space="preserve"> </w:t>
      </w:r>
      <w:r>
        <w:rPr>
          <w:rFonts w:ascii="Ubuntu"/>
          <w:i/>
          <w:color w:val="517489"/>
          <w:spacing w:val="-6"/>
          <w:sz w:val="34"/>
        </w:rPr>
        <w:t>Care</w:t>
      </w:r>
    </w:p>
    <w:p w:rsidR="007E59EF" w:rsidRDefault="009740A5">
      <w:pPr>
        <w:pStyle w:val="Heading2"/>
      </w:pPr>
      <w:r>
        <w:rPr>
          <w:color w:val="517489"/>
        </w:rPr>
        <w:t>Coordination Using High-Fidelity Wraparound</w:t>
      </w:r>
    </w:p>
    <w:p w:rsidR="007E59EF" w:rsidRDefault="007E59EF">
      <w:pPr>
        <w:pStyle w:val="BodyText"/>
        <w:rPr>
          <w:rFonts w:ascii="Ubuntu"/>
          <w:i/>
          <w:sz w:val="22"/>
        </w:rPr>
      </w:pPr>
    </w:p>
    <w:p w:rsidR="007E59EF" w:rsidRDefault="007E59EF">
      <w:pPr>
        <w:rPr>
          <w:rFonts w:ascii="Ubuntu"/>
        </w:rPr>
        <w:sectPr w:rsidR="007E59EF">
          <w:pgSz w:w="12240" w:h="15840"/>
          <w:pgMar w:top="940" w:right="0" w:bottom="780" w:left="0" w:header="0" w:footer="388" w:gutter="0"/>
          <w:cols w:space="720"/>
        </w:sectPr>
      </w:pPr>
    </w:p>
    <w:p w:rsidR="007E59EF" w:rsidRDefault="009740A5">
      <w:pPr>
        <w:pStyle w:val="ListParagraph"/>
        <w:numPr>
          <w:ilvl w:val="1"/>
          <w:numId w:val="4"/>
        </w:numPr>
        <w:tabs>
          <w:tab w:val="left" w:pos="1420"/>
        </w:tabs>
        <w:spacing w:before="95" w:line="292" w:lineRule="auto"/>
        <w:ind w:right="603"/>
        <w:jc w:val="left"/>
        <w:rPr>
          <w:sz w:val="20"/>
        </w:rPr>
      </w:pPr>
      <w:r>
        <w:rPr>
          <w:color w:val="414042"/>
          <w:sz w:val="20"/>
        </w:rPr>
        <w:t xml:space="preserve">Bruns, E. J., Rast, J., Peterson, C., </w:t>
      </w:r>
      <w:r>
        <w:rPr>
          <w:color w:val="414042"/>
          <w:spacing w:val="-3"/>
          <w:sz w:val="20"/>
        </w:rPr>
        <w:t xml:space="preserve">Walker, </w:t>
      </w:r>
      <w:r>
        <w:rPr>
          <w:color w:val="414042"/>
          <w:sz w:val="20"/>
        </w:rPr>
        <w:t>J., &amp; Bosworth, J. (2006). Spreadsheets,</w:t>
      </w:r>
      <w:r>
        <w:rPr>
          <w:color w:val="414042"/>
          <w:spacing w:val="2"/>
          <w:sz w:val="20"/>
        </w:rPr>
        <w:t xml:space="preserve"> </w:t>
      </w:r>
      <w:r>
        <w:rPr>
          <w:color w:val="414042"/>
          <w:sz w:val="20"/>
        </w:rPr>
        <w:t>service</w:t>
      </w:r>
    </w:p>
    <w:p w:rsidR="007E59EF" w:rsidRDefault="009740A5">
      <w:pPr>
        <w:pStyle w:val="BodyText"/>
        <w:spacing w:line="292" w:lineRule="auto"/>
        <w:ind w:left="1420" w:right="180"/>
        <w:rPr>
          <w:i/>
        </w:rPr>
      </w:pPr>
      <w:r>
        <w:rPr>
          <w:color w:val="414042"/>
        </w:rPr>
        <w:t xml:space="preserve">providers, and the statehouse: Using data and the wraparound process to reform systems for children and families. </w:t>
      </w:r>
      <w:r>
        <w:rPr>
          <w:i/>
          <w:color w:val="414042"/>
        </w:rPr>
        <w:t>American Journal of Com-</w:t>
      </w:r>
    </w:p>
    <w:p w:rsidR="007E59EF" w:rsidRDefault="009740A5">
      <w:pPr>
        <w:pStyle w:val="BodyText"/>
        <w:spacing w:line="292" w:lineRule="auto"/>
        <w:ind w:left="1420" w:right="6"/>
      </w:pPr>
      <w:r>
        <w:rPr>
          <w:i/>
          <w:color w:val="414042"/>
        </w:rPr>
        <w:t>munity Psychology, 38</w:t>
      </w:r>
      <w:r>
        <w:rPr>
          <w:color w:val="414042"/>
        </w:rPr>
        <w:t xml:space="preserve">(3–4), 141–142. Doi: 10.1007/ s10464-006-9074-z. </w:t>
      </w:r>
      <w:hyperlink r:id="rId64">
        <w:r>
          <w:rPr>
            <w:color w:val="517489"/>
            <w:u w:val="single" w:color="517489"/>
          </w:rPr>
          <w:t>https://onlinelibrary.wiley.</w:t>
        </w:r>
      </w:hyperlink>
      <w:r>
        <w:rPr>
          <w:color w:val="517489"/>
        </w:rPr>
        <w:t xml:space="preserve"> </w:t>
      </w:r>
      <w:hyperlink r:id="rId65">
        <w:r>
          <w:rPr>
            <w:color w:val="517489"/>
            <w:u w:val="single" w:color="517489"/>
          </w:rPr>
          <w:t>com/doi/full/10.1007/s10464-006-9074-z</w:t>
        </w:r>
      </w:hyperlink>
    </w:p>
    <w:p w:rsidR="007E59EF" w:rsidRPr="009740A5" w:rsidRDefault="009740A5">
      <w:pPr>
        <w:pStyle w:val="ListParagraph"/>
        <w:numPr>
          <w:ilvl w:val="1"/>
          <w:numId w:val="4"/>
        </w:numPr>
        <w:tabs>
          <w:tab w:val="left" w:pos="1420"/>
        </w:tabs>
        <w:spacing w:before="112" w:line="292" w:lineRule="auto"/>
        <w:ind w:right="2"/>
        <w:jc w:val="left"/>
        <w:rPr>
          <w:sz w:val="20"/>
        </w:rPr>
      </w:pPr>
      <w:r>
        <w:rPr>
          <w:color w:val="414042"/>
          <w:sz w:val="20"/>
        </w:rPr>
        <w:t xml:space="preserve">Carney, M. M., &amp; Butell, </w:t>
      </w:r>
      <w:r>
        <w:rPr>
          <w:color w:val="414042"/>
          <w:spacing w:val="-6"/>
          <w:sz w:val="20"/>
        </w:rPr>
        <w:t xml:space="preserve">F. </w:t>
      </w:r>
      <w:r>
        <w:rPr>
          <w:color w:val="414042"/>
          <w:sz w:val="20"/>
        </w:rPr>
        <w:t xml:space="preserve">(2003). Reducing juvenile recidivism: Evaluating the wraparound services model. </w:t>
      </w:r>
      <w:r>
        <w:rPr>
          <w:i/>
          <w:color w:val="414042"/>
          <w:sz w:val="20"/>
        </w:rPr>
        <w:t>Research on Social Work Practice, 13</w:t>
      </w:r>
      <w:r>
        <w:rPr>
          <w:color w:val="414042"/>
          <w:sz w:val="20"/>
        </w:rPr>
        <w:t>(5), 551–568. Doi: 10.1177/1049731503253364.</w:t>
      </w:r>
      <w:r>
        <w:rPr>
          <w:color w:val="517489"/>
          <w:sz w:val="20"/>
          <w:u w:val="single" w:color="517489"/>
        </w:rPr>
        <w:t xml:space="preserve"> </w:t>
      </w:r>
      <w:hyperlink r:id="rId66">
        <w:r>
          <w:rPr>
            <w:color w:val="517489"/>
            <w:sz w:val="20"/>
            <w:u w:val="single" w:color="517489"/>
          </w:rPr>
          <w:t>http://citeseerx.ist.psu.edu/viewdoc/download?do</w:t>
        </w:r>
      </w:hyperlink>
      <w:hyperlink r:id="rId67">
        <w:r>
          <w:rPr>
            <w:color w:val="517489"/>
            <w:sz w:val="20"/>
            <w:u w:val="single" w:color="517489"/>
          </w:rPr>
          <w:t xml:space="preserve"> i=10.1.1.916.7660&amp;rep=rep1&amp;type=pdf</w:t>
        </w:r>
      </w:hyperlink>
    </w:p>
    <w:p w:rsidR="009740A5" w:rsidRDefault="009740A5">
      <w:pPr>
        <w:pStyle w:val="ListParagraph"/>
        <w:numPr>
          <w:ilvl w:val="1"/>
          <w:numId w:val="4"/>
        </w:numPr>
        <w:tabs>
          <w:tab w:val="left" w:pos="1420"/>
        </w:tabs>
        <w:spacing w:before="112" w:line="292" w:lineRule="auto"/>
        <w:ind w:right="2"/>
        <w:jc w:val="left"/>
        <w:rPr>
          <w:sz w:val="20"/>
        </w:rPr>
      </w:pPr>
      <w:r>
        <w:rPr>
          <w:sz w:val="20"/>
        </w:rPr>
        <w:t xml:space="preserve">Clark, H. B., Lee, B., </w:t>
      </w:r>
      <w:r w:rsidRPr="00603AAB">
        <w:rPr>
          <w:rFonts w:cstheme="minorHAnsi"/>
          <w:sz w:val="20"/>
          <w:szCs w:val="20"/>
        </w:rPr>
        <w:t xml:space="preserve">Prange, M. E., &amp; McDonald, B. A. (1996). Children lost within the foster care system: Can wraparound service strategies improve placement outcomes? </w:t>
      </w:r>
      <w:r w:rsidRPr="00603AAB">
        <w:rPr>
          <w:rFonts w:cstheme="minorHAnsi"/>
          <w:i/>
          <w:iCs/>
          <w:sz w:val="20"/>
          <w:szCs w:val="20"/>
        </w:rPr>
        <w:t>Journal of Child and Family Studies,</w:t>
      </w:r>
      <w:r w:rsidRPr="00603AAB">
        <w:rPr>
          <w:rFonts w:cstheme="minorHAnsi"/>
          <w:sz w:val="20"/>
          <w:szCs w:val="20"/>
        </w:rPr>
        <w:t xml:space="preserve"> </w:t>
      </w:r>
      <w:r w:rsidRPr="009740A5">
        <w:rPr>
          <w:rFonts w:cstheme="minorHAnsi"/>
          <w:i/>
          <w:sz w:val="20"/>
          <w:szCs w:val="20"/>
        </w:rPr>
        <w:t>5</w:t>
      </w:r>
      <w:r w:rsidRPr="00603AAB">
        <w:rPr>
          <w:rFonts w:cstheme="minorHAnsi"/>
          <w:sz w:val="20"/>
          <w:szCs w:val="20"/>
        </w:rPr>
        <w:t xml:space="preserve">(1), 39-54. </w:t>
      </w:r>
      <w:r>
        <w:rPr>
          <w:rFonts w:cstheme="minorHAnsi"/>
          <w:sz w:val="20"/>
          <w:szCs w:val="20"/>
        </w:rPr>
        <w:t>D</w:t>
      </w:r>
      <w:r w:rsidRPr="00603AAB">
        <w:rPr>
          <w:rFonts w:cstheme="minorHAnsi"/>
          <w:sz w:val="20"/>
          <w:szCs w:val="20"/>
        </w:rPr>
        <w:t xml:space="preserve">oi:10.1007/BF02234677  </w:t>
      </w:r>
      <w:hyperlink r:id="rId68" w:history="1">
        <w:r w:rsidRPr="009740A5">
          <w:rPr>
            <w:rStyle w:val="Hyperlink"/>
            <w:rFonts w:cstheme="minorHAnsi"/>
            <w:color w:val="3E6A80"/>
            <w:sz w:val="20"/>
            <w:szCs w:val="20"/>
          </w:rPr>
          <w:t>https://www.researchgate.net/publication/226241921_Children_lost_within_the_foster_care_system_Can_wraparound_service_strategies_improve_placement_outcomes/link/02e7e53c966585ccd5000000/download</w:t>
        </w:r>
      </w:hyperlink>
    </w:p>
    <w:p w:rsidR="007E59EF" w:rsidRDefault="009740A5">
      <w:pPr>
        <w:pStyle w:val="ListParagraph"/>
        <w:numPr>
          <w:ilvl w:val="1"/>
          <w:numId w:val="4"/>
        </w:numPr>
        <w:tabs>
          <w:tab w:val="left" w:pos="1420"/>
        </w:tabs>
        <w:spacing w:before="112" w:line="292" w:lineRule="auto"/>
        <w:ind w:right="153"/>
        <w:jc w:val="left"/>
        <w:rPr>
          <w:sz w:val="20"/>
        </w:rPr>
      </w:pPr>
      <w:r>
        <w:rPr>
          <w:color w:val="414042"/>
          <w:sz w:val="20"/>
        </w:rPr>
        <w:t xml:space="preserve">Cordell, K. D., Snowden, L. R. (2017). Reducing </w:t>
      </w:r>
      <w:r w:rsidR="00BE3034">
        <w:rPr>
          <w:color w:val="414042"/>
          <w:sz w:val="20"/>
        </w:rPr>
        <w:t>mental health emergency services for children served thr</w:t>
      </w:r>
      <w:r>
        <w:rPr>
          <w:color w:val="414042"/>
          <w:sz w:val="20"/>
        </w:rPr>
        <w:t xml:space="preserve">ough California’s Full Service Partner- ships. </w:t>
      </w:r>
      <w:r>
        <w:rPr>
          <w:i/>
          <w:color w:val="414042"/>
          <w:sz w:val="20"/>
        </w:rPr>
        <w:t>Medical Care, 55</w:t>
      </w:r>
      <w:r>
        <w:rPr>
          <w:color w:val="414042"/>
          <w:sz w:val="20"/>
        </w:rPr>
        <w:t>(3), 299–305. Doi:</w:t>
      </w:r>
      <w:r>
        <w:rPr>
          <w:color w:val="414042"/>
          <w:spacing w:val="-10"/>
          <w:sz w:val="20"/>
        </w:rPr>
        <w:t xml:space="preserve"> </w:t>
      </w:r>
      <w:r>
        <w:rPr>
          <w:color w:val="414042"/>
          <w:sz w:val="20"/>
        </w:rPr>
        <w:t>10.1097/ MLR.0000000000000641.</w:t>
      </w:r>
      <w:r>
        <w:rPr>
          <w:color w:val="517489"/>
          <w:sz w:val="20"/>
        </w:rPr>
        <w:t xml:space="preserve"> </w:t>
      </w:r>
      <w:hyperlink r:id="rId69">
        <w:r>
          <w:rPr>
            <w:color w:val="517489"/>
            <w:sz w:val="20"/>
            <w:u w:val="single" w:color="517489"/>
          </w:rPr>
          <w:t>https://insights.ovid.</w:t>
        </w:r>
      </w:hyperlink>
      <w:hyperlink r:id="rId70">
        <w:r>
          <w:rPr>
            <w:color w:val="517489"/>
            <w:sz w:val="20"/>
            <w:u w:val="single" w:color="517489"/>
          </w:rPr>
          <w:t xml:space="preserve"> com/pubmed?pmid=27579908</w:t>
        </w:r>
      </w:hyperlink>
    </w:p>
    <w:p w:rsidR="007E59EF" w:rsidRDefault="009740A5">
      <w:pPr>
        <w:pStyle w:val="ListParagraph"/>
        <w:numPr>
          <w:ilvl w:val="1"/>
          <w:numId w:val="4"/>
        </w:numPr>
        <w:tabs>
          <w:tab w:val="left" w:pos="1420"/>
        </w:tabs>
        <w:spacing w:before="113" w:line="292" w:lineRule="auto"/>
        <w:ind w:right="181"/>
        <w:jc w:val="left"/>
        <w:rPr>
          <w:sz w:val="20"/>
        </w:rPr>
      </w:pPr>
      <w:r>
        <w:rPr>
          <w:color w:val="414042"/>
          <w:sz w:val="20"/>
        </w:rPr>
        <w:t xml:space="preserve">Grimes, K. E., Schulz, M. </w:t>
      </w:r>
      <w:r>
        <w:rPr>
          <w:color w:val="414042"/>
          <w:spacing w:val="-4"/>
          <w:sz w:val="20"/>
        </w:rPr>
        <w:t xml:space="preserve">F., </w:t>
      </w:r>
      <w:r>
        <w:rPr>
          <w:color w:val="414042"/>
          <w:sz w:val="20"/>
        </w:rPr>
        <w:t xml:space="preserve">Cohen, S. A., Mullin, B. O., Lehar, S. E., &amp; Tien, S. (2011) Pursuing cost- effectiveness in mental health service delivery for youth with complex needs. </w:t>
      </w:r>
      <w:r>
        <w:rPr>
          <w:i/>
          <w:color w:val="414042"/>
          <w:sz w:val="20"/>
        </w:rPr>
        <w:t>The Journal of Mental Health Policy and Economics, 14</w:t>
      </w:r>
      <w:r>
        <w:rPr>
          <w:color w:val="414042"/>
          <w:sz w:val="20"/>
        </w:rPr>
        <w:t>(2), 73–83. PMID: 21881163.</w:t>
      </w:r>
      <w:r>
        <w:rPr>
          <w:color w:val="517489"/>
          <w:sz w:val="20"/>
        </w:rPr>
        <w:t xml:space="preserve"> </w:t>
      </w:r>
      <w:hyperlink r:id="rId71">
        <w:r>
          <w:rPr>
            <w:color w:val="517489"/>
            <w:sz w:val="20"/>
            <w:u w:val="single" w:color="517489"/>
          </w:rPr>
          <w:t>http://childrenshealthinitiative.</w:t>
        </w:r>
      </w:hyperlink>
      <w:hyperlink r:id="rId72">
        <w:r>
          <w:rPr>
            <w:color w:val="517489"/>
            <w:sz w:val="20"/>
            <w:u w:val="single" w:color="517489"/>
          </w:rPr>
          <w:t xml:space="preserve"> </w:t>
        </w:r>
        <w:r>
          <w:rPr>
            <w:color w:val="517489"/>
            <w:spacing w:val="-1"/>
            <w:sz w:val="20"/>
            <w:u w:val="single" w:color="517489"/>
          </w:rPr>
          <w:t>org/wp-content/uploads/2017/03/Pursuing-cost-</w:t>
        </w:r>
      </w:hyperlink>
    </w:p>
    <w:p w:rsidR="007E59EF" w:rsidRDefault="007B7991">
      <w:pPr>
        <w:pStyle w:val="BodyText"/>
        <w:spacing w:line="292" w:lineRule="auto"/>
        <w:ind w:left="1420"/>
      </w:pPr>
      <w:hyperlink r:id="rId73">
        <w:r w:rsidR="009740A5">
          <w:rPr>
            <w:color w:val="517489"/>
            <w:u w:val="single" w:color="517489"/>
          </w:rPr>
          <w:t>effectiveness-in-mental-health-service-delivery-for-</w:t>
        </w:r>
      </w:hyperlink>
      <w:r w:rsidR="009740A5">
        <w:rPr>
          <w:color w:val="517489"/>
        </w:rPr>
        <w:t xml:space="preserve"> </w:t>
      </w:r>
      <w:hyperlink r:id="rId74">
        <w:r w:rsidR="009740A5">
          <w:rPr>
            <w:color w:val="517489"/>
            <w:u w:val="single" w:color="517489"/>
          </w:rPr>
          <w:t>youth-with-complex-needs.pdf</w:t>
        </w:r>
      </w:hyperlink>
    </w:p>
    <w:p w:rsidR="007E59EF" w:rsidRDefault="009740A5">
      <w:pPr>
        <w:pStyle w:val="ListParagraph"/>
        <w:numPr>
          <w:ilvl w:val="1"/>
          <w:numId w:val="4"/>
        </w:numPr>
        <w:tabs>
          <w:tab w:val="left" w:pos="659"/>
        </w:tabs>
        <w:spacing w:before="95" w:line="292" w:lineRule="auto"/>
        <w:ind w:left="658" w:right="1130"/>
        <w:jc w:val="left"/>
        <w:rPr>
          <w:sz w:val="20"/>
        </w:rPr>
      </w:pPr>
      <w:r>
        <w:rPr>
          <w:color w:val="414042"/>
          <w:sz w:val="20"/>
        </w:rPr>
        <w:br w:type="column"/>
      </w:r>
      <w:r>
        <w:rPr>
          <w:color w:val="414042"/>
          <w:sz w:val="20"/>
        </w:rPr>
        <w:t xml:space="preserve">McCarter, S. </w:t>
      </w:r>
      <w:r>
        <w:rPr>
          <w:color w:val="414042"/>
          <w:spacing w:val="1"/>
          <w:sz w:val="20"/>
        </w:rPr>
        <w:t xml:space="preserve">A. </w:t>
      </w:r>
      <w:r>
        <w:rPr>
          <w:color w:val="414042"/>
          <w:sz w:val="20"/>
        </w:rPr>
        <w:t>(2016). Holistic</w:t>
      </w:r>
      <w:r w:rsidR="00BE3034">
        <w:rPr>
          <w:color w:val="414042"/>
          <w:sz w:val="20"/>
        </w:rPr>
        <w:t xml:space="preserve"> representation: A randomized pilot study of wraparound services for first-time juvenile offenders to improve</w:t>
      </w:r>
      <w:r w:rsidR="00BE3034">
        <w:rPr>
          <w:color w:val="414042"/>
          <w:spacing w:val="-22"/>
          <w:sz w:val="20"/>
        </w:rPr>
        <w:t xml:space="preserve"> </w:t>
      </w:r>
      <w:r w:rsidR="00BE3034">
        <w:rPr>
          <w:color w:val="414042"/>
          <w:sz w:val="20"/>
        </w:rPr>
        <w:t>func- tioning, decrease motions for review, and lower reci</w:t>
      </w:r>
      <w:r>
        <w:rPr>
          <w:color w:val="414042"/>
          <w:sz w:val="20"/>
        </w:rPr>
        <w:t xml:space="preserve">divism. </w:t>
      </w:r>
      <w:r>
        <w:rPr>
          <w:i/>
          <w:color w:val="414042"/>
          <w:sz w:val="20"/>
        </w:rPr>
        <w:t>Family Court Review, 54</w:t>
      </w:r>
      <w:r>
        <w:rPr>
          <w:color w:val="414042"/>
          <w:sz w:val="20"/>
        </w:rPr>
        <w:t>(2), 250–260. Doi: 10.1111/fcre.12216.</w:t>
      </w:r>
      <w:r>
        <w:rPr>
          <w:color w:val="517489"/>
          <w:sz w:val="20"/>
        </w:rPr>
        <w:t xml:space="preserve"> </w:t>
      </w:r>
      <w:hyperlink r:id="rId75">
        <w:r>
          <w:rPr>
            <w:color w:val="517489"/>
            <w:sz w:val="20"/>
            <w:u w:val="single" w:color="517489"/>
          </w:rPr>
          <w:t>https://onlinelibrary.</w:t>
        </w:r>
      </w:hyperlink>
      <w:hyperlink r:id="rId76">
        <w:r>
          <w:rPr>
            <w:color w:val="517489"/>
            <w:sz w:val="20"/>
            <w:u w:val="single" w:color="517489"/>
          </w:rPr>
          <w:t xml:space="preserve"> wiley.com/doi/pdf/10.1111/fcre.12216</w:t>
        </w:r>
      </w:hyperlink>
    </w:p>
    <w:p w:rsidR="007E59EF" w:rsidRDefault="009740A5">
      <w:pPr>
        <w:pStyle w:val="ListParagraph"/>
        <w:numPr>
          <w:ilvl w:val="1"/>
          <w:numId w:val="4"/>
        </w:numPr>
        <w:tabs>
          <w:tab w:val="left" w:pos="659"/>
        </w:tabs>
        <w:spacing w:before="113" w:line="292" w:lineRule="auto"/>
        <w:ind w:left="658" w:right="2077"/>
        <w:jc w:val="left"/>
        <w:rPr>
          <w:sz w:val="20"/>
        </w:rPr>
      </w:pPr>
      <w:r>
        <w:rPr>
          <w:color w:val="414042"/>
          <w:sz w:val="20"/>
        </w:rPr>
        <w:t>Mears, S. L., Yaffe, J., &amp; Harris, N. J. (2009). Evaluation of Wraparound ser- vices for severely emotionally disturbed</w:t>
      </w:r>
    </w:p>
    <w:p w:rsidR="007E59EF" w:rsidRDefault="009740A5">
      <w:pPr>
        <w:spacing w:line="292" w:lineRule="auto"/>
        <w:ind w:left="658" w:right="1362"/>
        <w:rPr>
          <w:sz w:val="20"/>
        </w:rPr>
      </w:pPr>
      <w:r>
        <w:rPr>
          <w:color w:val="414042"/>
          <w:sz w:val="20"/>
        </w:rPr>
        <w:t xml:space="preserve">youths. </w:t>
      </w:r>
      <w:r>
        <w:rPr>
          <w:i/>
          <w:color w:val="414042"/>
          <w:sz w:val="20"/>
        </w:rPr>
        <w:t>Research on Social Work Practice, 19</w:t>
      </w:r>
      <w:r>
        <w:rPr>
          <w:color w:val="414042"/>
          <w:sz w:val="20"/>
        </w:rPr>
        <w:t>(6), 678–685. Doi:10.1177/1049731508329385.</w:t>
      </w:r>
    </w:p>
    <w:p w:rsidR="007E59EF" w:rsidRDefault="007B7991">
      <w:pPr>
        <w:pStyle w:val="BodyText"/>
        <w:spacing w:line="292" w:lineRule="auto"/>
        <w:ind w:left="658" w:right="2549"/>
      </w:pPr>
      <w:hyperlink r:id="rId77">
        <w:r w:rsidR="009740A5">
          <w:rPr>
            <w:color w:val="517489"/>
            <w:u w:val="single" w:color="517489"/>
          </w:rPr>
          <w:t>https://journals.sagepub.com/doi/</w:t>
        </w:r>
      </w:hyperlink>
      <w:r w:rsidR="009740A5">
        <w:rPr>
          <w:color w:val="517489"/>
        </w:rPr>
        <w:t xml:space="preserve"> </w:t>
      </w:r>
      <w:hyperlink r:id="rId78">
        <w:r w:rsidR="009740A5">
          <w:rPr>
            <w:color w:val="517489"/>
            <w:u w:val="single" w:color="517489"/>
          </w:rPr>
          <w:t>pdf/10.1177/1049731508329385</w:t>
        </w:r>
      </w:hyperlink>
    </w:p>
    <w:p w:rsidR="007E59EF" w:rsidRDefault="009740A5">
      <w:pPr>
        <w:pStyle w:val="ListParagraph"/>
        <w:numPr>
          <w:ilvl w:val="1"/>
          <w:numId w:val="4"/>
        </w:numPr>
        <w:tabs>
          <w:tab w:val="left" w:pos="659"/>
        </w:tabs>
        <w:spacing w:before="112" w:line="292" w:lineRule="auto"/>
        <w:ind w:left="658" w:right="1095"/>
        <w:jc w:val="left"/>
        <w:rPr>
          <w:sz w:val="20"/>
        </w:rPr>
      </w:pPr>
      <w:r>
        <w:rPr>
          <w:color w:val="414042"/>
          <w:sz w:val="20"/>
        </w:rPr>
        <w:t>Pullman, M. D., Kerbs, J., Koroloff, N.,</w:t>
      </w:r>
      <w:r>
        <w:rPr>
          <w:color w:val="414042"/>
          <w:spacing w:val="-25"/>
          <w:sz w:val="20"/>
        </w:rPr>
        <w:t xml:space="preserve"> </w:t>
      </w:r>
      <w:r>
        <w:rPr>
          <w:color w:val="414042"/>
          <w:sz w:val="20"/>
        </w:rPr>
        <w:t xml:space="preserve">Veach-White, E., Gaylor, R., &amp; Sieler, </w:t>
      </w:r>
      <w:r>
        <w:rPr>
          <w:color w:val="414042"/>
          <w:spacing w:val="-3"/>
          <w:sz w:val="20"/>
        </w:rPr>
        <w:t xml:space="preserve">D. </w:t>
      </w:r>
      <w:r>
        <w:rPr>
          <w:color w:val="414042"/>
          <w:sz w:val="20"/>
        </w:rPr>
        <w:t>(2006). Juvenile</w:t>
      </w:r>
      <w:r>
        <w:rPr>
          <w:color w:val="414042"/>
          <w:spacing w:val="-10"/>
          <w:sz w:val="20"/>
        </w:rPr>
        <w:t xml:space="preserve"> </w:t>
      </w:r>
      <w:r>
        <w:rPr>
          <w:color w:val="414042"/>
          <w:sz w:val="20"/>
        </w:rPr>
        <w:t xml:space="preserve">offenders with mental health needs: Reducing recidivism using Wraparound. </w:t>
      </w:r>
      <w:r>
        <w:rPr>
          <w:i/>
          <w:color w:val="414042"/>
          <w:sz w:val="20"/>
        </w:rPr>
        <w:t>Crime and Delinquency, 52</w:t>
      </w:r>
      <w:r>
        <w:rPr>
          <w:color w:val="414042"/>
          <w:sz w:val="20"/>
        </w:rPr>
        <w:t>(3), 375–397. Doi:10.1177/0011128705278632.</w:t>
      </w:r>
      <w:r>
        <w:rPr>
          <w:color w:val="517489"/>
          <w:sz w:val="20"/>
          <w:u w:val="single" w:color="517489"/>
        </w:rPr>
        <w:t xml:space="preserve"> </w:t>
      </w:r>
      <w:hyperlink r:id="rId79">
        <w:r>
          <w:rPr>
            <w:color w:val="517489"/>
            <w:sz w:val="20"/>
            <w:u w:val="single" w:color="517489"/>
          </w:rPr>
          <w:t>https://journals.sagepub.com/doi/</w:t>
        </w:r>
      </w:hyperlink>
      <w:hyperlink r:id="rId80">
        <w:r>
          <w:rPr>
            <w:color w:val="517489"/>
            <w:sz w:val="20"/>
            <w:u w:val="single" w:color="517489"/>
          </w:rPr>
          <w:t xml:space="preserve"> pdf/10.1177/0011128705278632</w:t>
        </w:r>
      </w:hyperlink>
    </w:p>
    <w:p w:rsidR="007E59EF" w:rsidRDefault="009740A5">
      <w:pPr>
        <w:pStyle w:val="ListParagraph"/>
        <w:numPr>
          <w:ilvl w:val="1"/>
          <w:numId w:val="4"/>
        </w:numPr>
        <w:tabs>
          <w:tab w:val="left" w:pos="659"/>
        </w:tabs>
        <w:spacing w:before="113" w:line="292" w:lineRule="auto"/>
        <w:ind w:left="658" w:right="1211"/>
        <w:jc w:val="left"/>
        <w:rPr>
          <w:i/>
          <w:sz w:val="20"/>
        </w:rPr>
      </w:pPr>
      <w:r>
        <w:rPr>
          <w:color w:val="414042"/>
          <w:sz w:val="20"/>
        </w:rPr>
        <w:t xml:space="preserve">Rast, J., Bruns, E. J., Brown, E. C., Peterson, C. R., &amp; Mears, S. L. (2008). </w:t>
      </w:r>
      <w:r>
        <w:rPr>
          <w:i/>
          <w:color w:val="414042"/>
          <w:sz w:val="20"/>
        </w:rPr>
        <w:t>Outcomes of the wraparound process for children involved in the child welfare system: Results of a matched comparison</w:t>
      </w:r>
      <w:r>
        <w:rPr>
          <w:i/>
          <w:color w:val="414042"/>
          <w:spacing w:val="-5"/>
          <w:sz w:val="20"/>
        </w:rPr>
        <w:t xml:space="preserve"> </w:t>
      </w:r>
      <w:r>
        <w:rPr>
          <w:i/>
          <w:color w:val="414042"/>
          <w:sz w:val="20"/>
        </w:rPr>
        <w:t>study.</w:t>
      </w:r>
    </w:p>
    <w:p w:rsidR="007E59EF" w:rsidRDefault="009740A5">
      <w:pPr>
        <w:pStyle w:val="ListParagraph"/>
        <w:numPr>
          <w:ilvl w:val="1"/>
          <w:numId w:val="4"/>
        </w:numPr>
        <w:tabs>
          <w:tab w:val="left" w:pos="659"/>
        </w:tabs>
        <w:spacing w:before="114" w:line="292" w:lineRule="auto"/>
        <w:ind w:left="658" w:right="1214"/>
        <w:jc w:val="left"/>
        <w:rPr>
          <w:sz w:val="20"/>
        </w:rPr>
      </w:pPr>
      <w:r>
        <w:rPr>
          <w:color w:val="414042"/>
          <w:sz w:val="20"/>
        </w:rPr>
        <w:t xml:space="preserve">Rauso, M. Ly, </w:t>
      </w:r>
      <w:r>
        <w:rPr>
          <w:color w:val="414042"/>
          <w:spacing w:val="-7"/>
          <w:sz w:val="20"/>
        </w:rPr>
        <w:t xml:space="preserve">T. </w:t>
      </w:r>
      <w:r>
        <w:rPr>
          <w:color w:val="414042"/>
          <w:sz w:val="20"/>
        </w:rPr>
        <w:t>M., Lee, M. H., &amp; Jarosz, C. J. (2009). Improving outcomes for foster care youth with complex emotional and behavioral needs:</w:t>
      </w:r>
    </w:p>
    <w:p w:rsidR="007E59EF" w:rsidRDefault="009740A5">
      <w:pPr>
        <w:spacing w:line="292" w:lineRule="auto"/>
        <w:ind w:left="658" w:right="1362"/>
        <w:rPr>
          <w:sz w:val="20"/>
        </w:rPr>
      </w:pPr>
      <w:r>
        <w:rPr>
          <w:color w:val="414042"/>
          <w:sz w:val="20"/>
        </w:rPr>
        <w:t xml:space="preserve">A comparison of outcomes for Wraparound vs. residential care in Los Angeles County. </w:t>
      </w:r>
      <w:r>
        <w:rPr>
          <w:i/>
          <w:color w:val="414042"/>
          <w:sz w:val="20"/>
        </w:rPr>
        <w:t xml:space="preserve">Report on Emotional &amp; Behavioral Disorders in Youth, 9, </w:t>
      </w:r>
      <w:r>
        <w:rPr>
          <w:color w:val="414042"/>
          <w:sz w:val="20"/>
        </w:rPr>
        <w:t xml:space="preserve">63–75. </w:t>
      </w:r>
      <w:hyperlink r:id="rId81">
        <w:r>
          <w:rPr>
            <w:color w:val="517489"/>
            <w:sz w:val="20"/>
            <w:u w:val="single" w:color="517489"/>
          </w:rPr>
          <w:t>https://pdfs.semanticscholar.org/d8ae/</w:t>
        </w:r>
      </w:hyperlink>
      <w:r>
        <w:rPr>
          <w:color w:val="517489"/>
          <w:sz w:val="20"/>
        </w:rPr>
        <w:t xml:space="preserve"> </w:t>
      </w:r>
      <w:hyperlink r:id="rId82">
        <w:r>
          <w:rPr>
            <w:color w:val="517489"/>
            <w:sz w:val="20"/>
            <w:u w:val="single" w:color="517489"/>
          </w:rPr>
          <w:t>a1c35995ad0385a33bce6f6cc14bc96bce51.pdf</w:t>
        </w:r>
      </w:hyperlink>
    </w:p>
    <w:p w:rsidR="007E59EF" w:rsidRDefault="009740A5">
      <w:pPr>
        <w:pStyle w:val="ListParagraph"/>
        <w:numPr>
          <w:ilvl w:val="1"/>
          <w:numId w:val="4"/>
        </w:numPr>
        <w:tabs>
          <w:tab w:val="left" w:pos="659"/>
        </w:tabs>
        <w:spacing w:before="112" w:line="292" w:lineRule="auto"/>
        <w:ind w:left="658" w:right="1414"/>
        <w:jc w:val="left"/>
        <w:rPr>
          <w:i/>
          <w:sz w:val="20"/>
        </w:rPr>
      </w:pPr>
      <w:r>
        <w:rPr>
          <w:color w:val="414042"/>
          <w:sz w:val="20"/>
        </w:rPr>
        <w:t xml:space="preserve">Schneider-Munoz, </w:t>
      </w:r>
      <w:r>
        <w:rPr>
          <w:color w:val="414042"/>
          <w:spacing w:val="1"/>
          <w:sz w:val="20"/>
        </w:rPr>
        <w:t xml:space="preserve">A. </w:t>
      </w:r>
      <w:r>
        <w:rPr>
          <w:color w:val="414042"/>
          <w:sz w:val="20"/>
        </w:rPr>
        <w:t xml:space="preserve">J., Renteria, R. </w:t>
      </w:r>
      <w:r>
        <w:rPr>
          <w:color w:val="414042"/>
          <w:spacing w:val="1"/>
          <w:sz w:val="20"/>
        </w:rPr>
        <w:t xml:space="preserve">A. </w:t>
      </w:r>
      <w:r>
        <w:rPr>
          <w:color w:val="414042"/>
          <w:sz w:val="20"/>
        </w:rPr>
        <w:t xml:space="preserve">M., Gelwicks, J., </w:t>
      </w:r>
      <w:r w:rsidR="00BE3034">
        <w:rPr>
          <w:color w:val="414042"/>
          <w:sz w:val="20"/>
        </w:rPr>
        <w:t xml:space="preserve">&amp; </w:t>
      </w:r>
      <w:r>
        <w:rPr>
          <w:color w:val="414042"/>
          <w:sz w:val="20"/>
        </w:rPr>
        <w:t>Fasano, M. E. (2015)</w:t>
      </w:r>
      <w:r w:rsidR="00BE3034">
        <w:rPr>
          <w:color w:val="414042"/>
          <w:sz w:val="20"/>
        </w:rPr>
        <w:t>.</w:t>
      </w:r>
      <w:r>
        <w:rPr>
          <w:color w:val="414042"/>
          <w:sz w:val="20"/>
        </w:rPr>
        <w:t xml:space="preserve"> Reducing Risk: Families in Wraparound Intervention. Families in Society: </w:t>
      </w:r>
      <w:r>
        <w:rPr>
          <w:i/>
          <w:color w:val="414042"/>
          <w:sz w:val="20"/>
        </w:rPr>
        <w:t>The Journal of</w:t>
      </w:r>
      <w:r>
        <w:rPr>
          <w:i/>
          <w:color w:val="414042"/>
          <w:spacing w:val="-17"/>
          <w:sz w:val="20"/>
        </w:rPr>
        <w:t xml:space="preserve"> </w:t>
      </w:r>
      <w:r>
        <w:rPr>
          <w:i/>
          <w:color w:val="414042"/>
          <w:sz w:val="20"/>
        </w:rPr>
        <w:t>Contemporary</w:t>
      </w:r>
    </w:p>
    <w:p w:rsidR="007E59EF" w:rsidRDefault="009740A5">
      <w:pPr>
        <w:spacing w:line="228" w:lineRule="exact"/>
        <w:ind w:left="658"/>
        <w:rPr>
          <w:sz w:val="20"/>
        </w:rPr>
      </w:pPr>
      <w:r>
        <w:rPr>
          <w:i/>
          <w:color w:val="414042"/>
          <w:sz w:val="20"/>
        </w:rPr>
        <w:t>Social Services, 96</w:t>
      </w:r>
      <w:r>
        <w:rPr>
          <w:color w:val="414042"/>
          <w:sz w:val="20"/>
        </w:rPr>
        <w:t>(2), 91–98. Doi: 10.1606/1044-</w:t>
      </w:r>
    </w:p>
    <w:p w:rsidR="007E59EF" w:rsidRDefault="009740A5" w:rsidP="00E7662F">
      <w:pPr>
        <w:pStyle w:val="BodyText"/>
        <w:spacing w:before="50" w:line="292" w:lineRule="auto"/>
        <w:ind w:left="658" w:right="1324"/>
        <w:sectPr w:rsidR="007E59EF" w:rsidSect="00E7662F">
          <w:type w:val="continuous"/>
          <w:pgSz w:w="12240" w:h="15840"/>
          <w:pgMar w:top="900" w:right="0" w:bottom="780" w:left="0" w:header="720" w:footer="720" w:gutter="0"/>
          <w:cols w:num="2" w:space="720" w:equalWidth="0">
            <w:col w:w="5942" w:space="40"/>
            <w:col w:w="6258"/>
          </w:cols>
        </w:sectPr>
      </w:pPr>
      <w:r>
        <w:rPr>
          <w:color w:val="414042"/>
        </w:rPr>
        <w:t xml:space="preserve">3894.2015.96.18. </w:t>
      </w:r>
      <w:hyperlink r:id="rId83">
        <w:r>
          <w:rPr>
            <w:color w:val="517489"/>
            <w:u w:val="single" w:color="517489"/>
          </w:rPr>
          <w:t>https://journals.sagepub.com/</w:t>
        </w:r>
      </w:hyperlink>
      <w:r>
        <w:rPr>
          <w:color w:val="517489"/>
        </w:rPr>
        <w:t xml:space="preserve"> </w:t>
      </w:r>
      <w:hyperlink r:id="rId84">
        <w:r>
          <w:rPr>
            <w:color w:val="517489"/>
            <w:u w:val="single" w:color="517489"/>
          </w:rPr>
          <w:t>doi/pdf/10.1606/1044-3894.2015.96.18</w:t>
        </w:r>
      </w:hyperlink>
    </w:p>
    <w:p w:rsidR="00E7662F" w:rsidRDefault="007B7991" w:rsidP="002177C0">
      <w:pPr>
        <w:widowControl/>
        <w:suppressAutoHyphens/>
        <w:adjustRightInd w:val="0"/>
        <w:spacing w:after="240" w:line="360" w:lineRule="atLeast"/>
        <w:ind w:left="270"/>
        <w:textAlignment w:val="center"/>
        <w:rPr>
          <w:rFonts w:ascii="Ubuntu" w:eastAsia="Calibri" w:hAnsi="Ubuntu" w:cs="Ubuntu"/>
          <w:i/>
          <w:iCs/>
          <w:color w:val="3E6A80"/>
          <w:spacing w:val="-3"/>
          <w:sz w:val="34"/>
          <w:szCs w:val="34"/>
          <w:lang w:bidi="ar-SA"/>
        </w:rPr>
      </w:pPr>
      <w:r>
        <w:rPr>
          <w:rFonts w:ascii="Ubuntu" w:eastAsia="Calibri" w:hAnsi="Ubuntu" w:cs="Ubuntu"/>
          <w:noProof/>
          <w:color w:val="3E6A80"/>
          <w:spacing w:val="-3"/>
          <w:sz w:val="34"/>
          <w:szCs w:val="34"/>
          <w:lang w:bidi="ar-SA"/>
        </w:rPr>
        <w:lastRenderedPageBreak/>
        <w:pict>
          <v:shape id="Text Box 2" o:spid="_x0000_s1085" type="#_x0000_t202" style="position:absolute;left:0;text-align:left;margin-left:11.7pt;margin-top:530.9pt;width:789.35pt;height:28.3pt;z-index:503290440;visibility:visible;mso-wrap-distance-left:9pt;mso-wrap-distance-top:3.6pt;mso-wrap-distance-right:9pt;mso-wrap-distance-bottom:3.6pt;mso-position-horizontal-relative:text;mso-position-vertical-relative:text;mso-width-relative:margin;mso-height-relative:margin;v-text-anchor:top" filled="f" stroked="f" strokeweight="0">
            <v:textbox style="mso-next-textbox:#Text Box 2">
              <w:txbxContent>
                <w:p w:rsidR="009740A5" w:rsidRPr="00603AAB" w:rsidRDefault="009740A5" w:rsidP="0069245C">
                  <w:pPr>
                    <w:ind w:left="-450"/>
                    <w:rPr>
                      <w:sz w:val="20"/>
                      <w:szCs w:val="20"/>
                    </w:rPr>
                  </w:pPr>
                  <w:r>
                    <w:rPr>
                      <w:sz w:val="20"/>
                      <w:szCs w:val="20"/>
                    </w:rPr>
                    <w:t xml:space="preserve">         </w:t>
                  </w:r>
                  <w:r w:rsidRPr="00603AAB">
                    <w:rPr>
                      <w:sz w:val="20"/>
                      <w:szCs w:val="20"/>
                    </w:rPr>
                    <w:t>NOTES:  RCT = Random Control Trial</w:t>
                  </w:r>
                  <w:r>
                    <w:rPr>
                      <w:sz w:val="20"/>
                      <w:szCs w:val="20"/>
                    </w:rPr>
                    <w:t xml:space="preserve">; </w:t>
                  </w:r>
                  <w:r w:rsidRPr="00603AAB">
                    <w:rPr>
                      <w:sz w:val="20"/>
                      <w:szCs w:val="20"/>
                    </w:rPr>
                    <w:t>QED = Quasi-Experimental Design</w:t>
                  </w:r>
                  <w:r>
                    <w:rPr>
                      <w:sz w:val="20"/>
                      <w:szCs w:val="20"/>
                    </w:rPr>
                    <w:t xml:space="preserve">; </w:t>
                  </w:r>
                  <w:r w:rsidRPr="00603AAB">
                    <w:rPr>
                      <w:sz w:val="20"/>
                      <w:szCs w:val="20"/>
                    </w:rPr>
                    <w:t>TAU = Treatment as Usual</w:t>
                  </w:r>
                </w:p>
                <w:p w:rsidR="009740A5" w:rsidRDefault="009740A5" w:rsidP="0069245C"/>
              </w:txbxContent>
            </v:textbox>
            <w10:wrap type="square"/>
          </v:shape>
        </w:pict>
      </w:r>
      <w:r w:rsidR="00E7662F" w:rsidRPr="00E7662F">
        <w:rPr>
          <w:rFonts w:ascii="Ubuntu" w:eastAsia="Calibri" w:hAnsi="Ubuntu" w:cs="Ubuntu"/>
          <w:color w:val="3E6A80"/>
          <w:spacing w:val="-3"/>
          <w:sz w:val="34"/>
          <w:szCs w:val="34"/>
          <w:lang w:bidi="ar-SA"/>
        </w:rPr>
        <w:t xml:space="preserve">C. Key Characteristics of Research Studies Supportive of </w:t>
      </w:r>
      <w:r w:rsidR="00E7662F" w:rsidRPr="00E7662F">
        <w:rPr>
          <w:rFonts w:ascii="Ubuntu" w:eastAsia="Calibri" w:hAnsi="Ubuntu" w:cs="Ubuntu"/>
          <w:i/>
          <w:iCs/>
          <w:color w:val="3E6A80"/>
          <w:spacing w:val="-3"/>
          <w:sz w:val="34"/>
          <w:szCs w:val="34"/>
          <w:lang w:bidi="ar-SA"/>
        </w:rPr>
        <w:t>Intensive Care Coordinatio</w:t>
      </w:r>
      <w:r w:rsidR="00E7662F">
        <w:rPr>
          <w:rFonts w:ascii="Ubuntu" w:eastAsia="Calibri" w:hAnsi="Ubuntu" w:cs="Ubuntu"/>
          <w:i/>
          <w:iCs/>
          <w:color w:val="3E6A80"/>
          <w:spacing w:val="-3"/>
          <w:sz w:val="34"/>
          <w:szCs w:val="34"/>
          <w:lang w:bidi="ar-SA"/>
        </w:rPr>
        <w:t>n Using High-Fidelity Wraparound</w:t>
      </w:r>
    </w:p>
    <w:tbl>
      <w:tblPr>
        <w:tblStyle w:val="TableGrid"/>
        <w:tblW w:w="18252" w:type="dxa"/>
        <w:tblInd w:w="432" w:type="dxa"/>
        <w:tblBorders>
          <w:top w:val="single" w:sz="8" w:space="0" w:color="A7C7D1"/>
          <w:left w:val="single" w:sz="8" w:space="0" w:color="A7C7D1"/>
          <w:bottom w:val="single" w:sz="8" w:space="0" w:color="A7C7D1"/>
          <w:right w:val="single" w:sz="8" w:space="0" w:color="A7C7D1"/>
          <w:insideH w:val="single" w:sz="8" w:space="0" w:color="A7C7D1"/>
          <w:insideV w:val="single" w:sz="8" w:space="0" w:color="A7C7D1"/>
        </w:tblBorders>
        <w:tblLayout w:type="fixed"/>
        <w:tblCellMar>
          <w:top w:w="144" w:type="dxa"/>
          <w:left w:w="144" w:type="dxa"/>
          <w:bottom w:w="144" w:type="dxa"/>
          <w:right w:w="144" w:type="dxa"/>
        </w:tblCellMar>
        <w:tblLook w:val="04A0" w:firstRow="1" w:lastRow="0" w:firstColumn="1" w:lastColumn="0" w:noHBand="0" w:noVBand="1"/>
      </w:tblPr>
      <w:tblGrid>
        <w:gridCol w:w="6570"/>
        <w:gridCol w:w="1440"/>
        <w:gridCol w:w="1615"/>
        <w:gridCol w:w="1260"/>
        <w:gridCol w:w="1530"/>
        <w:gridCol w:w="3155"/>
        <w:gridCol w:w="1170"/>
        <w:gridCol w:w="1512"/>
      </w:tblGrid>
      <w:tr w:rsidR="00E7662F" w:rsidRPr="00603AAB" w:rsidTr="002177C0">
        <w:trPr>
          <w:trHeight w:val="405"/>
        </w:trPr>
        <w:tc>
          <w:tcPr>
            <w:tcW w:w="6570" w:type="dxa"/>
            <w:shd w:val="clear" w:color="auto" w:fill="D5E4EA"/>
            <w:vAlign w:val="center"/>
          </w:tcPr>
          <w:p w:rsidR="00E7662F" w:rsidRPr="00BE3034" w:rsidRDefault="00E7662F" w:rsidP="009740A5">
            <w:pPr>
              <w:jc w:val="center"/>
              <w:rPr>
                <w:b/>
                <w:bCs/>
                <w:color w:val="3E6A80"/>
                <w:sz w:val="20"/>
                <w:szCs w:val="20"/>
              </w:rPr>
            </w:pPr>
            <w:r w:rsidRPr="00BE3034">
              <w:rPr>
                <w:b/>
                <w:bCs/>
                <w:color w:val="3E6A80"/>
                <w:sz w:val="20"/>
                <w:szCs w:val="20"/>
              </w:rPr>
              <w:t>Citations</w:t>
            </w:r>
          </w:p>
        </w:tc>
        <w:tc>
          <w:tcPr>
            <w:tcW w:w="1440" w:type="dxa"/>
            <w:shd w:val="clear" w:color="auto" w:fill="D5E4EA"/>
            <w:vAlign w:val="center"/>
          </w:tcPr>
          <w:p w:rsidR="00E7662F" w:rsidRPr="00BE3034" w:rsidRDefault="00E7662F" w:rsidP="009740A5">
            <w:pPr>
              <w:ind w:left="-104" w:right="-105"/>
              <w:jc w:val="center"/>
              <w:rPr>
                <w:b/>
                <w:bCs/>
                <w:color w:val="3E6A80"/>
                <w:sz w:val="20"/>
                <w:szCs w:val="20"/>
              </w:rPr>
            </w:pPr>
            <w:r w:rsidRPr="00BE3034">
              <w:rPr>
                <w:b/>
                <w:bCs/>
                <w:color w:val="3E6A80"/>
                <w:sz w:val="20"/>
                <w:szCs w:val="20"/>
              </w:rPr>
              <w:t>Date of Publication</w:t>
            </w:r>
          </w:p>
        </w:tc>
        <w:tc>
          <w:tcPr>
            <w:tcW w:w="1615" w:type="dxa"/>
            <w:shd w:val="clear" w:color="auto" w:fill="D5E4EA"/>
            <w:vAlign w:val="center"/>
          </w:tcPr>
          <w:p w:rsidR="00E7662F" w:rsidRPr="00BE3034" w:rsidRDefault="00E7662F" w:rsidP="009740A5">
            <w:pPr>
              <w:jc w:val="center"/>
              <w:rPr>
                <w:b/>
                <w:bCs/>
                <w:color w:val="3E6A80"/>
                <w:sz w:val="20"/>
                <w:szCs w:val="20"/>
              </w:rPr>
            </w:pPr>
            <w:r w:rsidRPr="00BE3034">
              <w:rPr>
                <w:b/>
                <w:bCs/>
                <w:color w:val="3E6A80"/>
                <w:sz w:val="20"/>
                <w:szCs w:val="20"/>
              </w:rPr>
              <w:t>Source of Publication</w:t>
            </w:r>
          </w:p>
        </w:tc>
        <w:tc>
          <w:tcPr>
            <w:tcW w:w="1260" w:type="dxa"/>
            <w:shd w:val="clear" w:color="auto" w:fill="D5E4EA"/>
            <w:vAlign w:val="center"/>
          </w:tcPr>
          <w:p w:rsidR="00E7662F" w:rsidRPr="00BE3034" w:rsidRDefault="00E7662F" w:rsidP="009740A5">
            <w:pPr>
              <w:jc w:val="center"/>
              <w:rPr>
                <w:b/>
                <w:bCs/>
                <w:color w:val="3E6A80"/>
                <w:sz w:val="20"/>
                <w:szCs w:val="20"/>
              </w:rPr>
            </w:pPr>
            <w:r w:rsidRPr="00BE3034">
              <w:rPr>
                <w:b/>
                <w:bCs/>
                <w:color w:val="3E6A80"/>
                <w:sz w:val="20"/>
                <w:szCs w:val="20"/>
              </w:rPr>
              <w:t>Study Design</w:t>
            </w:r>
          </w:p>
        </w:tc>
        <w:tc>
          <w:tcPr>
            <w:tcW w:w="1530" w:type="dxa"/>
            <w:shd w:val="clear" w:color="auto" w:fill="D5E4EA"/>
            <w:vAlign w:val="center"/>
          </w:tcPr>
          <w:p w:rsidR="00E7662F" w:rsidRPr="00BE3034" w:rsidRDefault="00E7662F" w:rsidP="009740A5">
            <w:pPr>
              <w:jc w:val="center"/>
              <w:rPr>
                <w:i/>
                <w:iCs/>
                <w:color w:val="3E6A80"/>
                <w:sz w:val="20"/>
                <w:szCs w:val="20"/>
              </w:rPr>
            </w:pPr>
            <w:r w:rsidRPr="00BE3034">
              <w:rPr>
                <w:b/>
                <w:bCs/>
                <w:color w:val="3E6A80"/>
                <w:sz w:val="20"/>
                <w:szCs w:val="20"/>
              </w:rPr>
              <w:t>Comparison Group</w:t>
            </w:r>
          </w:p>
        </w:tc>
        <w:tc>
          <w:tcPr>
            <w:tcW w:w="3155" w:type="dxa"/>
            <w:shd w:val="clear" w:color="auto" w:fill="D5E4EA"/>
            <w:vAlign w:val="center"/>
          </w:tcPr>
          <w:p w:rsidR="00E7662F" w:rsidRPr="00BE3034" w:rsidRDefault="00E7662F" w:rsidP="009740A5">
            <w:pPr>
              <w:jc w:val="center"/>
              <w:rPr>
                <w:b/>
                <w:bCs/>
                <w:color w:val="3E6A80"/>
                <w:sz w:val="20"/>
                <w:szCs w:val="20"/>
              </w:rPr>
            </w:pPr>
            <w:r w:rsidRPr="00BE3034">
              <w:rPr>
                <w:b/>
                <w:bCs/>
                <w:color w:val="3E6A80"/>
                <w:sz w:val="20"/>
                <w:szCs w:val="20"/>
              </w:rPr>
              <w:t>Targeted Outcomes</w:t>
            </w:r>
          </w:p>
        </w:tc>
        <w:tc>
          <w:tcPr>
            <w:tcW w:w="1170" w:type="dxa"/>
            <w:shd w:val="clear" w:color="auto" w:fill="D5E4EA"/>
            <w:vAlign w:val="center"/>
          </w:tcPr>
          <w:p w:rsidR="00E7662F" w:rsidRPr="00BE3034" w:rsidRDefault="00E7662F" w:rsidP="009740A5">
            <w:pPr>
              <w:jc w:val="center"/>
              <w:rPr>
                <w:b/>
                <w:bCs/>
                <w:color w:val="3E6A80"/>
                <w:sz w:val="20"/>
                <w:szCs w:val="20"/>
              </w:rPr>
            </w:pPr>
            <w:r w:rsidRPr="00BE3034">
              <w:rPr>
                <w:b/>
                <w:bCs/>
                <w:color w:val="3E6A80"/>
                <w:sz w:val="20"/>
                <w:szCs w:val="20"/>
              </w:rPr>
              <w:t>Sample Size</w:t>
            </w:r>
          </w:p>
        </w:tc>
        <w:tc>
          <w:tcPr>
            <w:tcW w:w="1512" w:type="dxa"/>
            <w:shd w:val="clear" w:color="auto" w:fill="D5E4EA"/>
            <w:vAlign w:val="center"/>
          </w:tcPr>
          <w:p w:rsidR="00E7662F" w:rsidRPr="00BE3034" w:rsidRDefault="00E7662F" w:rsidP="009740A5">
            <w:pPr>
              <w:jc w:val="center"/>
              <w:rPr>
                <w:b/>
                <w:bCs/>
                <w:color w:val="3E6A80"/>
                <w:sz w:val="20"/>
                <w:szCs w:val="20"/>
              </w:rPr>
            </w:pPr>
            <w:r w:rsidRPr="00BE3034">
              <w:rPr>
                <w:b/>
                <w:bCs/>
                <w:color w:val="3E6A80"/>
                <w:sz w:val="20"/>
                <w:szCs w:val="20"/>
              </w:rPr>
              <w:t>Duration of Effects</w:t>
            </w:r>
          </w:p>
        </w:tc>
      </w:tr>
      <w:tr w:rsidR="00E7662F" w:rsidRPr="00603AAB" w:rsidTr="002177C0">
        <w:tc>
          <w:tcPr>
            <w:tcW w:w="6570" w:type="dxa"/>
          </w:tcPr>
          <w:p w:rsidR="00E7662F" w:rsidRPr="00603AAB" w:rsidRDefault="00E7662F" w:rsidP="00E7662F">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color w:val="auto"/>
                <w:sz w:val="20"/>
                <w:szCs w:val="20"/>
              </w:rPr>
              <w:t>Bruns,</w:t>
            </w:r>
            <w:r w:rsidRPr="009740A5">
              <w:rPr>
                <w:rFonts w:ascii="Ubuntu Light" w:hAnsi="Ubuntu Light" w:cstheme="minorHAnsi"/>
                <w:sz w:val="20"/>
                <w:szCs w:val="20"/>
              </w:rPr>
              <w:t xml:space="preserve"> E</w:t>
            </w:r>
            <w:r w:rsidRPr="00603AAB">
              <w:rPr>
                <w:rFonts w:ascii="Ubuntu Light" w:hAnsi="Ubuntu Light" w:cstheme="minorHAnsi"/>
                <w:sz w:val="20"/>
                <w:szCs w:val="20"/>
              </w:rPr>
              <w:t xml:space="preserve">. J., Rast, J., Peterson, C., Walker, J., </w:t>
            </w:r>
            <w:r w:rsidR="00BE3034">
              <w:rPr>
                <w:rFonts w:ascii="Ubuntu Light" w:hAnsi="Ubuntu Light" w:cstheme="minorHAnsi"/>
                <w:sz w:val="20"/>
                <w:szCs w:val="20"/>
              </w:rPr>
              <w:t xml:space="preserve">&amp; </w:t>
            </w:r>
            <w:r w:rsidRPr="00603AAB">
              <w:rPr>
                <w:rFonts w:ascii="Ubuntu Light" w:hAnsi="Ubuntu Light" w:cstheme="minorHAnsi"/>
                <w:sz w:val="20"/>
                <w:szCs w:val="20"/>
              </w:rPr>
              <w:t>Bosworth, J.</w:t>
            </w:r>
            <w:r w:rsidR="00BE3034">
              <w:rPr>
                <w:rFonts w:ascii="Ubuntu Light" w:hAnsi="Ubuntu Light" w:cstheme="minorHAnsi"/>
                <w:sz w:val="20"/>
                <w:szCs w:val="20"/>
              </w:rPr>
              <w:t xml:space="preserve"> </w:t>
            </w:r>
            <w:r w:rsidRPr="00603AAB">
              <w:rPr>
                <w:rFonts w:ascii="Ubuntu Light" w:hAnsi="Ubuntu Light" w:cstheme="minorHAnsi"/>
                <w:sz w:val="20"/>
                <w:szCs w:val="20"/>
              </w:rPr>
              <w:t xml:space="preserve">(2006). Spreadsheets, service providers, and the statehouse: Using data and the wraparound process to reform systems for children and families. </w:t>
            </w:r>
            <w:r w:rsidRPr="00603AAB">
              <w:rPr>
                <w:rFonts w:ascii="Ubuntu Light" w:hAnsi="Ubuntu Light" w:cstheme="minorHAnsi"/>
                <w:i/>
                <w:iCs/>
                <w:sz w:val="20"/>
                <w:szCs w:val="20"/>
              </w:rPr>
              <w:t>American Journal of Community Psychology</w:t>
            </w:r>
            <w:r w:rsidR="00BE3034" w:rsidRPr="00BE3034">
              <w:rPr>
                <w:rFonts w:ascii="Ubuntu Light" w:hAnsi="Ubuntu Light" w:cstheme="minorHAnsi"/>
                <w:i/>
                <w:sz w:val="20"/>
                <w:szCs w:val="20"/>
              </w:rPr>
              <w:t>, 38</w:t>
            </w:r>
            <w:r w:rsidRPr="00603AAB">
              <w:rPr>
                <w:rFonts w:ascii="Ubuntu Light" w:hAnsi="Ubuntu Light" w:cstheme="minorHAnsi"/>
                <w:sz w:val="20"/>
                <w:szCs w:val="20"/>
              </w:rPr>
              <w:t>(3-4), 141-142</w:t>
            </w:r>
            <w:r w:rsidR="00BE3034">
              <w:rPr>
                <w:rFonts w:ascii="Ubuntu Light" w:hAnsi="Ubuntu Light" w:cstheme="minorHAnsi"/>
                <w:sz w:val="20"/>
                <w:szCs w:val="20"/>
              </w:rPr>
              <w:t>.</w:t>
            </w:r>
            <w:r w:rsidRPr="00603AAB">
              <w:rPr>
                <w:rFonts w:ascii="Ubuntu Light" w:hAnsi="Ubuntu Light" w:cstheme="minorHAnsi"/>
                <w:sz w:val="20"/>
                <w:szCs w:val="20"/>
              </w:rPr>
              <w:t xml:space="preserve"> </w:t>
            </w:r>
            <w:hyperlink r:id="rId85" w:history="1">
              <w:r w:rsidRPr="00603AAB">
                <w:rPr>
                  <w:rStyle w:val="Hyperlink"/>
                  <w:rFonts w:ascii="Ubuntu Light" w:hAnsi="Ubuntu Light" w:cstheme="minorHAnsi"/>
                  <w:color w:val="3E6A80"/>
                  <w:sz w:val="20"/>
                  <w:szCs w:val="20"/>
                </w:rPr>
                <w:t>https://onlinelibrary.wiley.com/doi/full/10.1007/s10464-006-9074-z</w:t>
              </w:r>
            </w:hyperlink>
          </w:p>
        </w:tc>
        <w:tc>
          <w:tcPr>
            <w:tcW w:w="1440" w:type="dxa"/>
          </w:tcPr>
          <w:p w:rsidR="00E7662F" w:rsidRPr="00603AAB" w:rsidRDefault="00E7662F" w:rsidP="009740A5">
            <w:pPr>
              <w:spacing w:before="40"/>
              <w:rPr>
                <w:rFonts w:cstheme="minorHAnsi"/>
                <w:sz w:val="20"/>
                <w:szCs w:val="20"/>
              </w:rPr>
            </w:pPr>
            <w:r w:rsidRPr="00603AAB">
              <w:rPr>
                <w:rFonts w:cstheme="minorHAnsi"/>
                <w:sz w:val="20"/>
                <w:szCs w:val="20"/>
              </w:rPr>
              <w:t>2006</w:t>
            </w:r>
          </w:p>
        </w:tc>
        <w:tc>
          <w:tcPr>
            <w:tcW w:w="1615" w:type="dxa"/>
          </w:tcPr>
          <w:p w:rsidR="00E7662F" w:rsidRPr="00603AAB" w:rsidRDefault="00E7662F" w:rsidP="009740A5">
            <w:pPr>
              <w:spacing w:before="40"/>
              <w:rPr>
                <w:rFonts w:cstheme="minorHAnsi"/>
                <w:sz w:val="20"/>
                <w:szCs w:val="20"/>
              </w:rPr>
            </w:pPr>
            <w:r w:rsidRPr="00603AAB">
              <w:rPr>
                <w:rFonts w:cstheme="minorHAnsi"/>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rFonts w:cstheme="minorHAnsi"/>
                <w:sz w:val="20"/>
                <w:szCs w:val="20"/>
              </w:rPr>
              <w:t>QED</w:t>
            </w:r>
          </w:p>
        </w:tc>
        <w:tc>
          <w:tcPr>
            <w:tcW w:w="1530" w:type="dxa"/>
          </w:tcPr>
          <w:p w:rsidR="00E7662F" w:rsidRPr="00603AAB" w:rsidRDefault="00E7662F" w:rsidP="009740A5">
            <w:pPr>
              <w:spacing w:before="40"/>
              <w:rPr>
                <w:rFonts w:cstheme="minorHAnsi"/>
                <w:sz w:val="20"/>
                <w:szCs w:val="20"/>
              </w:rPr>
            </w:pPr>
            <w:r w:rsidRPr="00603AAB">
              <w:rPr>
                <w:rFonts w:cstheme="minorHAnsi"/>
                <w:sz w:val="20"/>
                <w:szCs w:val="20"/>
              </w:rPr>
              <w:t>TAU</w:t>
            </w:r>
          </w:p>
        </w:tc>
        <w:tc>
          <w:tcPr>
            <w:tcW w:w="3155" w:type="dxa"/>
          </w:tcPr>
          <w:p w:rsidR="00E7662F" w:rsidRPr="00603AAB" w:rsidRDefault="00E7662F" w:rsidP="009740A5">
            <w:pPr>
              <w:spacing w:before="40" w:after="40"/>
              <w:rPr>
                <w:rFonts w:cstheme="minorHAnsi"/>
                <w:i/>
                <w:iCs/>
                <w:sz w:val="20"/>
                <w:szCs w:val="20"/>
              </w:rPr>
            </w:pPr>
            <w:r w:rsidRPr="00603AAB">
              <w:rPr>
                <w:rFonts w:cstheme="minorHAnsi"/>
                <w:sz w:val="20"/>
                <w:szCs w:val="20"/>
              </w:rPr>
              <w:t>Child Well-Being –</w:t>
            </w:r>
            <w:r w:rsidRPr="00603AAB">
              <w:rPr>
                <w:rFonts w:cstheme="minorHAnsi"/>
                <w:i/>
                <w:iCs/>
                <w:sz w:val="20"/>
                <w:szCs w:val="20"/>
              </w:rPr>
              <w:t xml:space="preserve"> (behavioral and emotional functioning, social functioning, substance use or misuse, educational achievement, delinquent behaviors (truancy)) </w:t>
            </w:r>
          </w:p>
          <w:p w:rsidR="00E7662F" w:rsidRPr="00603AAB" w:rsidRDefault="00E7662F" w:rsidP="009740A5">
            <w:pPr>
              <w:spacing w:before="40" w:after="40"/>
              <w:rPr>
                <w:rFonts w:cstheme="minorHAnsi"/>
                <w:i/>
                <w:iCs/>
                <w:sz w:val="20"/>
                <w:szCs w:val="20"/>
              </w:rPr>
            </w:pPr>
            <w:r w:rsidRPr="00603AAB">
              <w:rPr>
                <w:rFonts w:cstheme="minorHAnsi"/>
                <w:sz w:val="20"/>
                <w:szCs w:val="20"/>
              </w:rPr>
              <w:t xml:space="preserve">Child Permanency – </w:t>
            </w:r>
            <w:r w:rsidRPr="00603AAB">
              <w:rPr>
                <w:rFonts w:cstheme="minorHAnsi"/>
                <w:i/>
                <w:iCs/>
                <w:sz w:val="20"/>
                <w:szCs w:val="20"/>
              </w:rPr>
              <w:t xml:space="preserve">(residential/living arrangements) </w:t>
            </w:r>
          </w:p>
        </w:tc>
        <w:tc>
          <w:tcPr>
            <w:tcW w:w="1170" w:type="dxa"/>
          </w:tcPr>
          <w:p w:rsidR="00E7662F" w:rsidRPr="00603AAB" w:rsidRDefault="00E7662F" w:rsidP="009740A5">
            <w:pPr>
              <w:spacing w:before="40"/>
              <w:rPr>
                <w:rFonts w:cstheme="minorHAnsi"/>
                <w:sz w:val="20"/>
                <w:szCs w:val="20"/>
              </w:rPr>
            </w:pPr>
            <w:r w:rsidRPr="00603AAB">
              <w:rPr>
                <w:rFonts w:cstheme="minorHAnsi"/>
                <w:sz w:val="20"/>
                <w:szCs w:val="20"/>
              </w:rPr>
              <w:t>65</w:t>
            </w:r>
          </w:p>
        </w:tc>
        <w:tc>
          <w:tcPr>
            <w:tcW w:w="1512" w:type="dxa"/>
          </w:tcPr>
          <w:p w:rsidR="00E7662F" w:rsidRPr="00603AAB" w:rsidRDefault="00E7662F" w:rsidP="009740A5">
            <w:pPr>
              <w:spacing w:before="40"/>
              <w:rPr>
                <w:rFonts w:cstheme="minorHAnsi"/>
                <w:sz w:val="20"/>
                <w:szCs w:val="20"/>
              </w:rPr>
            </w:pPr>
            <w:r w:rsidRPr="00603AAB">
              <w:rPr>
                <w:rFonts w:cstheme="minorHAnsi"/>
                <w:sz w:val="20"/>
                <w:szCs w:val="20"/>
              </w:rPr>
              <w:t>18 months (residential placements, overall functioning, school outcomes)</w:t>
            </w:r>
          </w:p>
        </w:tc>
      </w:tr>
      <w:tr w:rsidR="00E7662F" w:rsidRPr="00603AAB" w:rsidTr="002177C0">
        <w:tc>
          <w:tcPr>
            <w:tcW w:w="6570" w:type="dxa"/>
          </w:tcPr>
          <w:p w:rsidR="00E7662F" w:rsidRPr="00603AAB" w:rsidRDefault="00E7662F" w:rsidP="00E7662F">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t>Carney</w:t>
            </w:r>
            <w:r w:rsidRPr="009740A5">
              <w:rPr>
                <w:rFonts w:ascii="Ubuntu Light" w:hAnsi="Ubuntu Light" w:cstheme="minorHAnsi"/>
                <w:sz w:val="20"/>
                <w:szCs w:val="20"/>
              </w:rPr>
              <w:t xml:space="preserve">, </w:t>
            </w:r>
            <w:r w:rsidRPr="00603AAB">
              <w:rPr>
                <w:rFonts w:ascii="Ubuntu Light" w:hAnsi="Ubuntu Light" w:cstheme="minorHAnsi"/>
                <w:sz w:val="20"/>
                <w:szCs w:val="20"/>
              </w:rPr>
              <w:t xml:space="preserve">M. M., &amp; Butell, F. (2003). Reducing juvenile recidivism: Evaluating the wraparound services model. </w:t>
            </w:r>
            <w:r w:rsidRPr="00603AAB">
              <w:rPr>
                <w:rFonts w:ascii="Ubuntu Light" w:hAnsi="Ubuntu Light" w:cstheme="minorHAnsi"/>
                <w:i/>
                <w:iCs/>
                <w:sz w:val="20"/>
                <w:szCs w:val="20"/>
              </w:rPr>
              <w:t>Research on Social Work Practice</w:t>
            </w:r>
            <w:r w:rsidRPr="00603AAB">
              <w:rPr>
                <w:rFonts w:ascii="Ubuntu Light" w:hAnsi="Ubuntu Light" w:cstheme="minorHAnsi"/>
                <w:sz w:val="20"/>
                <w:szCs w:val="20"/>
              </w:rPr>
              <w:t>,</w:t>
            </w:r>
            <w:r w:rsidRPr="00BE3034">
              <w:rPr>
                <w:rFonts w:ascii="Ubuntu Light" w:hAnsi="Ubuntu Light" w:cstheme="minorHAnsi"/>
                <w:i/>
                <w:sz w:val="20"/>
                <w:szCs w:val="20"/>
              </w:rPr>
              <w:t xml:space="preserve"> 13</w:t>
            </w:r>
            <w:r w:rsidRPr="00603AAB">
              <w:rPr>
                <w:rFonts w:ascii="Ubuntu Light" w:hAnsi="Ubuntu Light" w:cstheme="minorHAnsi"/>
                <w:sz w:val="20"/>
                <w:szCs w:val="20"/>
              </w:rPr>
              <w:t xml:space="preserve">(5), 551-568.  </w:t>
            </w:r>
            <w:hyperlink r:id="rId86" w:history="1">
              <w:r w:rsidRPr="00603AAB">
                <w:rPr>
                  <w:rStyle w:val="Hyperlink"/>
                  <w:rFonts w:ascii="Ubuntu Light" w:hAnsi="Ubuntu Light" w:cstheme="minorHAnsi"/>
                  <w:color w:val="3E6A80"/>
                  <w:sz w:val="20"/>
                  <w:szCs w:val="20"/>
                </w:rPr>
                <w:t>http://citeseerx.ist.psu.edu/viewdoc/download?doi=10.1.1.916.7660&amp;rep=rep1&amp;type=pdf</w:t>
              </w:r>
            </w:hyperlink>
            <w:r w:rsidRPr="00603AAB">
              <w:rPr>
                <w:rFonts w:ascii="Ubuntu Light" w:hAnsi="Ubuntu Light" w:cstheme="minorHAnsi"/>
                <w:color w:val="3E6A80"/>
                <w:sz w:val="20"/>
                <w:szCs w:val="20"/>
              </w:rPr>
              <w:t xml:space="preserve"> </w:t>
            </w:r>
          </w:p>
        </w:tc>
        <w:tc>
          <w:tcPr>
            <w:tcW w:w="1440" w:type="dxa"/>
          </w:tcPr>
          <w:p w:rsidR="00E7662F" w:rsidRPr="00603AAB" w:rsidRDefault="00E7662F" w:rsidP="009740A5">
            <w:pPr>
              <w:spacing w:before="40"/>
              <w:rPr>
                <w:rFonts w:cstheme="minorHAnsi"/>
                <w:sz w:val="20"/>
                <w:szCs w:val="20"/>
              </w:rPr>
            </w:pPr>
            <w:r w:rsidRPr="00603AAB">
              <w:rPr>
                <w:rFonts w:cstheme="minorHAnsi"/>
                <w:sz w:val="20"/>
                <w:szCs w:val="20"/>
              </w:rPr>
              <w:t>2003</w:t>
            </w:r>
          </w:p>
        </w:tc>
        <w:tc>
          <w:tcPr>
            <w:tcW w:w="1615" w:type="dxa"/>
          </w:tcPr>
          <w:p w:rsidR="00E7662F" w:rsidRPr="00603AAB" w:rsidRDefault="00E7662F" w:rsidP="009740A5">
            <w:pPr>
              <w:spacing w:before="40"/>
              <w:rPr>
                <w:rFonts w:cstheme="minorHAnsi"/>
                <w:sz w:val="20"/>
                <w:szCs w:val="20"/>
              </w:rPr>
            </w:pPr>
            <w:r w:rsidRPr="00603AAB">
              <w:rPr>
                <w:rFonts w:cstheme="minorHAnsi"/>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rFonts w:cstheme="minorHAnsi"/>
                <w:sz w:val="20"/>
                <w:szCs w:val="20"/>
              </w:rPr>
              <w:t>RCT</w:t>
            </w:r>
          </w:p>
          <w:p w:rsidR="00E7662F" w:rsidRPr="00603AAB" w:rsidRDefault="00E7662F" w:rsidP="009740A5">
            <w:pPr>
              <w:spacing w:before="40"/>
              <w:rPr>
                <w:rFonts w:cstheme="minorHAnsi"/>
                <w:sz w:val="20"/>
                <w:szCs w:val="20"/>
              </w:rPr>
            </w:pPr>
          </w:p>
        </w:tc>
        <w:tc>
          <w:tcPr>
            <w:tcW w:w="1530" w:type="dxa"/>
          </w:tcPr>
          <w:p w:rsidR="00E7662F" w:rsidRPr="00603AAB" w:rsidRDefault="00E7662F" w:rsidP="009740A5">
            <w:pPr>
              <w:spacing w:before="40"/>
              <w:rPr>
                <w:rFonts w:cstheme="minorHAnsi"/>
                <w:sz w:val="20"/>
                <w:szCs w:val="20"/>
              </w:rPr>
            </w:pPr>
            <w:r w:rsidRPr="00603AAB">
              <w:rPr>
                <w:rFonts w:cstheme="minorHAnsi"/>
                <w:sz w:val="20"/>
                <w:szCs w:val="20"/>
              </w:rPr>
              <w:t>TAU</w:t>
            </w:r>
          </w:p>
        </w:tc>
        <w:tc>
          <w:tcPr>
            <w:tcW w:w="3155" w:type="dxa"/>
          </w:tcPr>
          <w:p w:rsidR="00E7662F" w:rsidRPr="00603AAB" w:rsidRDefault="00E7662F" w:rsidP="009740A5">
            <w:pPr>
              <w:spacing w:before="40"/>
              <w:rPr>
                <w:rFonts w:cstheme="minorHAnsi"/>
                <w:i/>
                <w:iCs/>
                <w:sz w:val="20"/>
                <w:szCs w:val="20"/>
              </w:rPr>
            </w:pPr>
            <w:r w:rsidRPr="00603AAB">
              <w:rPr>
                <w:rFonts w:cstheme="minorHAnsi"/>
                <w:sz w:val="20"/>
                <w:szCs w:val="20"/>
              </w:rPr>
              <w:t xml:space="preserve">Child Well-Being – </w:t>
            </w:r>
            <w:r w:rsidRPr="00603AAB">
              <w:rPr>
                <w:rFonts w:cstheme="minorHAnsi"/>
                <w:i/>
                <w:iCs/>
                <w:sz w:val="20"/>
                <w:szCs w:val="20"/>
              </w:rPr>
              <w:t>(delinquent behavior)</w:t>
            </w:r>
          </w:p>
          <w:p w:rsidR="00E7662F" w:rsidRPr="00603AAB" w:rsidRDefault="00E7662F" w:rsidP="009740A5">
            <w:pPr>
              <w:spacing w:before="40"/>
              <w:rPr>
                <w:rFonts w:cstheme="minorHAnsi"/>
                <w:sz w:val="20"/>
                <w:szCs w:val="20"/>
              </w:rPr>
            </w:pPr>
          </w:p>
        </w:tc>
        <w:tc>
          <w:tcPr>
            <w:tcW w:w="1170" w:type="dxa"/>
          </w:tcPr>
          <w:p w:rsidR="00E7662F" w:rsidRPr="00603AAB" w:rsidRDefault="00E7662F" w:rsidP="009740A5">
            <w:pPr>
              <w:spacing w:before="40"/>
              <w:rPr>
                <w:rFonts w:cstheme="minorHAnsi"/>
                <w:sz w:val="20"/>
                <w:szCs w:val="20"/>
              </w:rPr>
            </w:pPr>
            <w:r w:rsidRPr="00603AAB">
              <w:rPr>
                <w:rFonts w:cstheme="minorHAnsi"/>
                <w:sz w:val="20"/>
                <w:szCs w:val="20"/>
              </w:rPr>
              <w:t>141</w:t>
            </w:r>
          </w:p>
          <w:p w:rsidR="00E7662F" w:rsidRPr="00603AAB" w:rsidRDefault="00E7662F" w:rsidP="009740A5">
            <w:pPr>
              <w:spacing w:before="40"/>
              <w:rPr>
                <w:rFonts w:cstheme="minorHAnsi"/>
                <w:sz w:val="20"/>
                <w:szCs w:val="20"/>
              </w:rPr>
            </w:pPr>
          </w:p>
        </w:tc>
        <w:tc>
          <w:tcPr>
            <w:tcW w:w="1512" w:type="dxa"/>
          </w:tcPr>
          <w:p w:rsidR="00E7662F" w:rsidRPr="00603AAB" w:rsidRDefault="00E7662F" w:rsidP="009740A5">
            <w:pPr>
              <w:spacing w:before="40"/>
              <w:rPr>
                <w:rFonts w:cstheme="minorHAnsi"/>
                <w:sz w:val="20"/>
                <w:szCs w:val="20"/>
              </w:rPr>
            </w:pPr>
            <w:r w:rsidRPr="00603AAB">
              <w:rPr>
                <w:rFonts w:cstheme="minorHAnsi"/>
                <w:sz w:val="20"/>
                <w:szCs w:val="20"/>
              </w:rPr>
              <w:t>18 months</w:t>
            </w:r>
          </w:p>
          <w:p w:rsidR="00E7662F" w:rsidRPr="00603AAB" w:rsidRDefault="00E7662F" w:rsidP="009740A5">
            <w:pPr>
              <w:spacing w:before="40"/>
              <w:rPr>
                <w:rFonts w:cstheme="minorHAnsi"/>
                <w:sz w:val="20"/>
                <w:szCs w:val="20"/>
              </w:rPr>
            </w:pPr>
          </w:p>
        </w:tc>
      </w:tr>
      <w:tr w:rsidR="00E7662F" w:rsidRPr="00603AAB" w:rsidTr="002177C0">
        <w:tc>
          <w:tcPr>
            <w:tcW w:w="6570" w:type="dxa"/>
          </w:tcPr>
          <w:p w:rsidR="00E7662F" w:rsidRPr="00603AAB" w:rsidRDefault="00E7662F" w:rsidP="00BE3034">
            <w:pPr>
              <w:pStyle w:val="Default"/>
              <w:numPr>
                <w:ilvl w:val="0"/>
                <w:numId w:val="6"/>
              </w:numPr>
              <w:spacing w:before="40"/>
              <w:ind w:left="300" w:right="-105" w:hanging="354"/>
              <w:rPr>
                <w:rFonts w:ascii="Ubuntu Light" w:hAnsi="Ubuntu Light" w:cstheme="minorHAnsi"/>
                <w:color w:val="0000FF"/>
                <w:sz w:val="20"/>
                <w:szCs w:val="20"/>
                <w:u w:val="single"/>
              </w:rPr>
            </w:pPr>
            <w:r w:rsidRPr="009740A5">
              <w:rPr>
                <w:rFonts w:ascii="Ubuntu Light" w:hAnsi="Ubuntu Light" w:cstheme="minorHAnsi"/>
                <w:bCs/>
                <w:sz w:val="20"/>
                <w:szCs w:val="20"/>
              </w:rPr>
              <w:t>Clark,</w:t>
            </w:r>
            <w:r w:rsidRPr="009740A5">
              <w:rPr>
                <w:rFonts w:ascii="Ubuntu Light" w:hAnsi="Ubuntu Light" w:cstheme="minorHAnsi"/>
                <w:sz w:val="20"/>
                <w:szCs w:val="20"/>
              </w:rPr>
              <w:t xml:space="preserve"> </w:t>
            </w:r>
            <w:r w:rsidRPr="00603AAB">
              <w:rPr>
                <w:rFonts w:ascii="Ubuntu Light" w:hAnsi="Ubuntu Light" w:cstheme="minorHAnsi"/>
                <w:sz w:val="20"/>
                <w:szCs w:val="20"/>
              </w:rPr>
              <w:t xml:space="preserve">H. B., Lee, B., Prange, M. E., &amp; McDonald, B. A. (1996). Children lost within the foster care system: Can wraparound service strategies improve placement outcomes? </w:t>
            </w:r>
            <w:r w:rsidRPr="00603AAB">
              <w:rPr>
                <w:rFonts w:ascii="Ubuntu Light" w:hAnsi="Ubuntu Light" w:cstheme="minorHAnsi"/>
                <w:i/>
                <w:iCs/>
                <w:sz w:val="20"/>
                <w:szCs w:val="20"/>
              </w:rPr>
              <w:t>Journal of Child and Family Studies</w:t>
            </w:r>
            <w:r w:rsidRPr="00BE3034">
              <w:rPr>
                <w:rFonts w:ascii="Ubuntu Light" w:hAnsi="Ubuntu Light" w:cstheme="minorHAnsi"/>
                <w:i/>
                <w:iCs/>
                <w:sz w:val="20"/>
                <w:szCs w:val="20"/>
              </w:rPr>
              <w:t>,</w:t>
            </w:r>
            <w:r w:rsidRPr="00BE3034">
              <w:rPr>
                <w:rFonts w:ascii="Ubuntu Light" w:hAnsi="Ubuntu Light" w:cstheme="minorHAnsi"/>
                <w:i/>
                <w:sz w:val="20"/>
                <w:szCs w:val="20"/>
              </w:rPr>
              <w:t xml:space="preserve"> 5</w:t>
            </w:r>
            <w:r w:rsidRPr="00603AAB">
              <w:rPr>
                <w:rFonts w:ascii="Ubuntu Light" w:hAnsi="Ubuntu Light" w:cstheme="minorHAnsi"/>
                <w:sz w:val="20"/>
                <w:szCs w:val="20"/>
              </w:rPr>
              <w:t xml:space="preserve">(1), 39-54. </w:t>
            </w:r>
            <w:r w:rsidR="00BE3034">
              <w:rPr>
                <w:rFonts w:ascii="Ubuntu Light" w:hAnsi="Ubuntu Light" w:cstheme="minorHAnsi"/>
                <w:sz w:val="20"/>
                <w:szCs w:val="20"/>
              </w:rPr>
              <w:t>D</w:t>
            </w:r>
            <w:r w:rsidRPr="00603AAB">
              <w:rPr>
                <w:rFonts w:ascii="Ubuntu Light" w:hAnsi="Ubuntu Light" w:cstheme="minorHAnsi"/>
                <w:sz w:val="20"/>
                <w:szCs w:val="20"/>
              </w:rPr>
              <w:t xml:space="preserve">oi:10.1007/BF02234677  </w:t>
            </w:r>
            <w:r w:rsidRPr="00603AAB">
              <w:rPr>
                <w:rFonts w:ascii="Ubuntu Light" w:hAnsi="Ubuntu Light" w:cstheme="minorHAnsi"/>
                <w:color w:val="3E6A80"/>
                <w:sz w:val="20"/>
                <w:szCs w:val="20"/>
                <w:u w:val="single"/>
              </w:rPr>
              <w:t>https://www.researchgate.net/publication/226241921_Children_lost_within_the_foster_care_system_Can_wraparound_service_strategies_improve_placement_outcomes/link/02e7e53c966585ccd5000000/download</w:t>
            </w:r>
          </w:p>
        </w:tc>
        <w:tc>
          <w:tcPr>
            <w:tcW w:w="1440" w:type="dxa"/>
          </w:tcPr>
          <w:p w:rsidR="00E7662F" w:rsidRPr="00603AAB" w:rsidRDefault="00E7662F" w:rsidP="009740A5">
            <w:pPr>
              <w:spacing w:before="40"/>
              <w:rPr>
                <w:rFonts w:cstheme="minorHAnsi"/>
                <w:sz w:val="20"/>
                <w:szCs w:val="20"/>
              </w:rPr>
            </w:pPr>
            <w:r w:rsidRPr="00603AAB">
              <w:rPr>
                <w:rFonts w:cstheme="minorHAnsi"/>
                <w:sz w:val="20"/>
                <w:szCs w:val="20"/>
              </w:rPr>
              <w:t>1996</w:t>
            </w:r>
          </w:p>
        </w:tc>
        <w:tc>
          <w:tcPr>
            <w:tcW w:w="1615" w:type="dxa"/>
          </w:tcPr>
          <w:p w:rsidR="00E7662F" w:rsidRPr="00603AAB" w:rsidRDefault="00E7662F" w:rsidP="009740A5">
            <w:pPr>
              <w:spacing w:before="40"/>
              <w:rPr>
                <w:rFonts w:cstheme="minorHAnsi"/>
                <w:sz w:val="20"/>
                <w:szCs w:val="20"/>
              </w:rPr>
            </w:pPr>
            <w:r w:rsidRPr="00603AAB">
              <w:rPr>
                <w:rFonts w:cstheme="minorHAnsi"/>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rFonts w:cstheme="minorHAnsi"/>
                <w:sz w:val="20"/>
                <w:szCs w:val="20"/>
              </w:rPr>
              <w:t>RCT</w:t>
            </w:r>
          </w:p>
        </w:tc>
        <w:tc>
          <w:tcPr>
            <w:tcW w:w="1530" w:type="dxa"/>
          </w:tcPr>
          <w:p w:rsidR="00E7662F" w:rsidRPr="00603AAB" w:rsidRDefault="00E7662F" w:rsidP="009740A5">
            <w:pPr>
              <w:spacing w:before="40"/>
              <w:rPr>
                <w:rFonts w:cstheme="minorHAnsi"/>
                <w:sz w:val="20"/>
                <w:szCs w:val="20"/>
              </w:rPr>
            </w:pPr>
            <w:r w:rsidRPr="00603AAB">
              <w:rPr>
                <w:rFonts w:cstheme="minorHAnsi"/>
                <w:sz w:val="20"/>
                <w:szCs w:val="20"/>
              </w:rPr>
              <w:t>TAU</w:t>
            </w:r>
          </w:p>
        </w:tc>
        <w:tc>
          <w:tcPr>
            <w:tcW w:w="3155" w:type="dxa"/>
          </w:tcPr>
          <w:p w:rsidR="00E7662F" w:rsidRPr="00603AAB" w:rsidRDefault="00E7662F" w:rsidP="009740A5">
            <w:pPr>
              <w:spacing w:before="40"/>
              <w:rPr>
                <w:rFonts w:cstheme="minorHAnsi"/>
                <w:i/>
                <w:iCs/>
                <w:sz w:val="20"/>
                <w:szCs w:val="20"/>
              </w:rPr>
            </w:pPr>
            <w:r w:rsidRPr="00603AAB">
              <w:rPr>
                <w:rFonts w:cstheme="minorHAnsi"/>
                <w:sz w:val="20"/>
                <w:szCs w:val="20"/>
              </w:rPr>
              <w:t xml:space="preserve">Child Permanency </w:t>
            </w:r>
            <w:r w:rsidRPr="00603AAB">
              <w:rPr>
                <w:rFonts w:cstheme="minorHAnsi"/>
                <w:i/>
                <w:iCs/>
                <w:sz w:val="20"/>
                <w:szCs w:val="20"/>
              </w:rPr>
              <w:t>– (child placement)</w:t>
            </w:r>
          </w:p>
          <w:p w:rsidR="00E7662F" w:rsidRPr="00603AAB" w:rsidRDefault="00E7662F" w:rsidP="009740A5">
            <w:pPr>
              <w:spacing w:before="40"/>
              <w:rPr>
                <w:rFonts w:cstheme="minorHAnsi"/>
                <w:sz w:val="20"/>
                <w:szCs w:val="20"/>
              </w:rPr>
            </w:pPr>
            <w:r w:rsidRPr="00603AAB">
              <w:rPr>
                <w:rFonts w:cstheme="minorHAnsi"/>
                <w:sz w:val="20"/>
                <w:szCs w:val="20"/>
              </w:rPr>
              <w:t xml:space="preserve">Child Well-Being </w:t>
            </w:r>
            <w:r w:rsidRPr="00603AAB">
              <w:rPr>
                <w:rFonts w:cstheme="minorHAnsi"/>
                <w:i/>
                <w:iCs/>
                <w:sz w:val="20"/>
                <w:szCs w:val="20"/>
              </w:rPr>
              <w:t>– (delinquent behavior)</w:t>
            </w:r>
          </w:p>
        </w:tc>
        <w:tc>
          <w:tcPr>
            <w:tcW w:w="1170" w:type="dxa"/>
          </w:tcPr>
          <w:p w:rsidR="00E7662F" w:rsidRPr="00603AAB" w:rsidRDefault="00E7662F" w:rsidP="009740A5">
            <w:pPr>
              <w:spacing w:before="40"/>
              <w:rPr>
                <w:rFonts w:cstheme="minorHAnsi"/>
                <w:sz w:val="20"/>
                <w:szCs w:val="20"/>
              </w:rPr>
            </w:pPr>
            <w:r w:rsidRPr="00603AAB">
              <w:rPr>
                <w:sz w:val="20"/>
                <w:szCs w:val="20"/>
              </w:rPr>
              <w:t>132</w:t>
            </w:r>
          </w:p>
        </w:tc>
        <w:tc>
          <w:tcPr>
            <w:tcW w:w="1512" w:type="dxa"/>
          </w:tcPr>
          <w:p w:rsidR="00E7662F" w:rsidRPr="00603AAB" w:rsidRDefault="00E7662F" w:rsidP="009740A5">
            <w:pPr>
              <w:spacing w:before="40"/>
              <w:rPr>
                <w:rFonts w:cstheme="minorHAnsi"/>
                <w:sz w:val="20"/>
                <w:szCs w:val="20"/>
              </w:rPr>
            </w:pPr>
            <w:r w:rsidRPr="00603AAB">
              <w:rPr>
                <w:sz w:val="20"/>
                <w:szCs w:val="20"/>
              </w:rPr>
              <w:t>2.5 years</w:t>
            </w:r>
          </w:p>
        </w:tc>
      </w:tr>
      <w:tr w:rsidR="00E7662F" w:rsidRPr="00603AAB" w:rsidTr="002177C0">
        <w:tc>
          <w:tcPr>
            <w:tcW w:w="6570" w:type="dxa"/>
          </w:tcPr>
          <w:p w:rsidR="00E7662F" w:rsidRPr="00603AAB" w:rsidRDefault="00E7662F" w:rsidP="00BE3034">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t>Cordell</w:t>
            </w:r>
            <w:r w:rsidRPr="009740A5">
              <w:rPr>
                <w:rFonts w:ascii="Ubuntu Light" w:hAnsi="Ubuntu Light" w:cstheme="minorHAnsi"/>
                <w:sz w:val="20"/>
                <w:szCs w:val="20"/>
              </w:rPr>
              <w:t>, K</w:t>
            </w:r>
            <w:r w:rsidRPr="00603AAB">
              <w:rPr>
                <w:rFonts w:ascii="Ubuntu Light" w:hAnsi="Ubuntu Light" w:cstheme="minorHAnsi"/>
                <w:sz w:val="20"/>
                <w:szCs w:val="20"/>
              </w:rPr>
              <w:t xml:space="preserve">. D., </w:t>
            </w:r>
            <w:r w:rsidR="009740A5">
              <w:rPr>
                <w:rFonts w:ascii="Ubuntu Light" w:hAnsi="Ubuntu Light" w:cstheme="minorHAnsi"/>
                <w:sz w:val="20"/>
                <w:szCs w:val="20"/>
              </w:rPr>
              <w:t xml:space="preserve">&amp; </w:t>
            </w:r>
            <w:r w:rsidRPr="00603AAB">
              <w:rPr>
                <w:rFonts w:ascii="Ubuntu Light" w:hAnsi="Ubuntu Light" w:cstheme="minorHAnsi"/>
                <w:sz w:val="20"/>
                <w:szCs w:val="20"/>
              </w:rPr>
              <w:t xml:space="preserve">Snowden, L. R. (2017). Reducing </w:t>
            </w:r>
            <w:r w:rsidR="009740A5" w:rsidRPr="00603AAB">
              <w:rPr>
                <w:rFonts w:ascii="Ubuntu Light" w:hAnsi="Ubuntu Light" w:cstheme="minorHAnsi"/>
                <w:sz w:val="20"/>
                <w:szCs w:val="20"/>
              </w:rPr>
              <w:t>mental health emergency services for children served thr</w:t>
            </w:r>
            <w:r w:rsidRPr="00603AAB">
              <w:rPr>
                <w:rFonts w:ascii="Ubuntu Light" w:hAnsi="Ubuntu Light" w:cstheme="minorHAnsi"/>
                <w:sz w:val="20"/>
                <w:szCs w:val="20"/>
              </w:rPr>
              <w:t>ough California's Full Service Partnerships</w:t>
            </w:r>
            <w:r w:rsidRPr="00603AAB">
              <w:rPr>
                <w:rFonts w:ascii="Ubuntu Light" w:hAnsi="Ubuntu Light" w:cstheme="minorHAnsi"/>
                <w:i/>
                <w:iCs/>
                <w:sz w:val="20"/>
                <w:szCs w:val="20"/>
              </w:rPr>
              <w:t>. Medical Care</w:t>
            </w:r>
            <w:r w:rsidRPr="009740A5">
              <w:rPr>
                <w:rFonts w:ascii="Ubuntu Light" w:hAnsi="Ubuntu Light" w:cstheme="minorHAnsi"/>
                <w:i/>
                <w:iCs/>
                <w:sz w:val="20"/>
                <w:szCs w:val="20"/>
              </w:rPr>
              <w:t xml:space="preserve">, </w:t>
            </w:r>
            <w:r w:rsidRPr="009740A5">
              <w:rPr>
                <w:rFonts w:ascii="Ubuntu Light" w:hAnsi="Ubuntu Light" w:cstheme="minorHAnsi"/>
                <w:i/>
                <w:sz w:val="20"/>
                <w:szCs w:val="20"/>
              </w:rPr>
              <w:t>55</w:t>
            </w:r>
            <w:r w:rsidRPr="00603AAB">
              <w:rPr>
                <w:rFonts w:ascii="Ubuntu Light" w:hAnsi="Ubuntu Light" w:cstheme="minorHAnsi"/>
                <w:sz w:val="20"/>
                <w:szCs w:val="20"/>
              </w:rPr>
              <w:t>(3), 299</w:t>
            </w:r>
            <w:r w:rsidR="00BE3034">
              <w:rPr>
                <w:rFonts w:ascii="Ubuntu Light" w:hAnsi="Ubuntu Light" w:cstheme="minorHAnsi"/>
                <w:sz w:val="20"/>
                <w:szCs w:val="20"/>
              </w:rPr>
              <w:t>-</w:t>
            </w:r>
            <w:r w:rsidRPr="00603AAB">
              <w:rPr>
                <w:rFonts w:ascii="Ubuntu Light" w:hAnsi="Ubuntu Light" w:cstheme="minorHAnsi"/>
                <w:sz w:val="20"/>
                <w:szCs w:val="20"/>
              </w:rPr>
              <w:t xml:space="preserve">305. </w:t>
            </w:r>
            <w:hyperlink r:id="rId87" w:history="1">
              <w:r w:rsidRPr="00603AAB">
                <w:rPr>
                  <w:rStyle w:val="Hyperlink"/>
                  <w:rFonts w:ascii="Ubuntu Light" w:hAnsi="Ubuntu Light"/>
                  <w:color w:val="3E6A80"/>
                  <w:sz w:val="20"/>
                  <w:szCs w:val="20"/>
                </w:rPr>
                <w:t>https://insights.ovid.com/pubmed?pmid=27579908</w:t>
              </w:r>
            </w:hyperlink>
          </w:p>
        </w:tc>
        <w:tc>
          <w:tcPr>
            <w:tcW w:w="1440" w:type="dxa"/>
          </w:tcPr>
          <w:p w:rsidR="00E7662F" w:rsidRPr="00603AAB" w:rsidRDefault="00E7662F" w:rsidP="009740A5">
            <w:pPr>
              <w:spacing w:before="40"/>
              <w:rPr>
                <w:rFonts w:cstheme="minorHAnsi"/>
                <w:sz w:val="20"/>
                <w:szCs w:val="20"/>
              </w:rPr>
            </w:pPr>
            <w:r w:rsidRPr="00603AAB">
              <w:rPr>
                <w:sz w:val="20"/>
                <w:szCs w:val="20"/>
              </w:rPr>
              <w:t>2017</w:t>
            </w:r>
          </w:p>
        </w:tc>
        <w:tc>
          <w:tcPr>
            <w:tcW w:w="1615" w:type="dxa"/>
          </w:tcPr>
          <w:p w:rsidR="00E7662F" w:rsidRPr="00603AAB" w:rsidRDefault="00E7662F" w:rsidP="009740A5">
            <w:pPr>
              <w:spacing w:before="40"/>
              <w:rPr>
                <w:rFonts w:cstheme="minorHAnsi"/>
                <w:sz w:val="20"/>
                <w:szCs w:val="20"/>
              </w:rPr>
            </w:pPr>
            <w:r w:rsidRPr="00603AAB">
              <w:rPr>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sz w:val="20"/>
                <w:szCs w:val="20"/>
              </w:rPr>
              <w:t>QED</w:t>
            </w:r>
          </w:p>
        </w:tc>
        <w:tc>
          <w:tcPr>
            <w:tcW w:w="1530" w:type="dxa"/>
          </w:tcPr>
          <w:p w:rsidR="00E7662F" w:rsidRPr="00603AAB" w:rsidRDefault="00E7662F" w:rsidP="009740A5">
            <w:pPr>
              <w:spacing w:before="40"/>
              <w:rPr>
                <w:rFonts w:cstheme="minorHAnsi"/>
                <w:sz w:val="20"/>
                <w:szCs w:val="20"/>
              </w:rPr>
            </w:pPr>
            <w:r w:rsidRPr="00603AAB">
              <w:rPr>
                <w:sz w:val="20"/>
                <w:szCs w:val="20"/>
              </w:rPr>
              <w:t>TAU</w:t>
            </w:r>
          </w:p>
        </w:tc>
        <w:tc>
          <w:tcPr>
            <w:tcW w:w="3155" w:type="dxa"/>
          </w:tcPr>
          <w:p w:rsidR="00E7662F" w:rsidRPr="00603AAB" w:rsidRDefault="00E7662F" w:rsidP="009740A5">
            <w:pPr>
              <w:spacing w:before="40"/>
              <w:rPr>
                <w:rFonts w:cstheme="minorHAnsi"/>
                <w:sz w:val="20"/>
                <w:szCs w:val="20"/>
              </w:rPr>
            </w:pPr>
            <w:r w:rsidRPr="00603AAB">
              <w:rPr>
                <w:sz w:val="20"/>
                <w:szCs w:val="20"/>
              </w:rPr>
              <w:t xml:space="preserve">Child Well-Being </w:t>
            </w:r>
            <w:r w:rsidRPr="00603AAB">
              <w:rPr>
                <w:rFonts w:cstheme="minorHAnsi"/>
                <w:sz w:val="20"/>
                <w:szCs w:val="20"/>
              </w:rPr>
              <w:t xml:space="preserve">– </w:t>
            </w:r>
            <w:r w:rsidRPr="00603AAB">
              <w:rPr>
                <w:i/>
                <w:iCs/>
                <w:sz w:val="20"/>
                <w:szCs w:val="20"/>
              </w:rPr>
              <w:t>(</w:t>
            </w:r>
            <w:r w:rsidRPr="00603AAB">
              <w:rPr>
                <w:rFonts w:cstheme="minorHAnsi"/>
                <w:i/>
                <w:iCs/>
                <w:sz w:val="20"/>
                <w:szCs w:val="20"/>
              </w:rPr>
              <w:t xml:space="preserve">behavioral and emotional functioning) </w:t>
            </w:r>
          </w:p>
        </w:tc>
        <w:tc>
          <w:tcPr>
            <w:tcW w:w="1170" w:type="dxa"/>
          </w:tcPr>
          <w:p w:rsidR="00E7662F" w:rsidRPr="00603AAB" w:rsidRDefault="00E7662F" w:rsidP="009740A5">
            <w:pPr>
              <w:spacing w:before="40"/>
              <w:rPr>
                <w:rFonts w:cstheme="minorHAnsi"/>
                <w:sz w:val="20"/>
                <w:szCs w:val="20"/>
              </w:rPr>
            </w:pPr>
            <w:r w:rsidRPr="00603AAB">
              <w:rPr>
                <w:sz w:val="20"/>
                <w:szCs w:val="20"/>
              </w:rPr>
              <w:t>464,880</w:t>
            </w:r>
          </w:p>
        </w:tc>
        <w:tc>
          <w:tcPr>
            <w:tcW w:w="1512" w:type="dxa"/>
          </w:tcPr>
          <w:p w:rsidR="00E7662F" w:rsidRPr="00603AAB" w:rsidRDefault="00E7662F" w:rsidP="009740A5">
            <w:pPr>
              <w:spacing w:before="40"/>
              <w:rPr>
                <w:rFonts w:cstheme="minorHAnsi"/>
                <w:sz w:val="20"/>
                <w:szCs w:val="20"/>
              </w:rPr>
            </w:pPr>
            <w:r w:rsidRPr="00603AAB">
              <w:rPr>
                <w:sz w:val="20"/>
                <w:szCs w:val="20"/>
              </w:rPr>
              <w:t>8.5 years</w:t>
            </w:r>
          </w:p>
        </w:tc>
      </w:tr>
      <w:tr w:rsidR="00E7662F" w:rsidRPr="00603AAB" w:rsidTr="002177C0">
        <w:tc>
          <w:tcPr>
            <w:tcW w:w="6570" w:type="dxa"/>
          </w:tcPr>
          <w:p w:rsidR="00E7662F" w:rsidRPr="00603AAB" w:rsidRDefault="00E7662F" w:rsidP="009740A5">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t>Grimes,</w:t>
            </w:r>
            <w:r w:rsidRPr="009740A5">
              <w:rPr>
                <w:rFonts w:ascii="Ubuntu Light" w:hAnsi="Ubuntu Light" w:cstheme="minorHAnsi"/>
                <w:sz w:val="20"/>
                <w:szCs w:val="20"/>
              </w:rPr>
              <w:t xml:space="preserve"> </w:t>
            </w:r>
            <w:r w:rsidRPr="00603AAB">
              <w:rPr>
                <w:rFonts w:ascii="Ubuntu Light" w:hAnsi="Ubuntu Light" w:cstheme="minorHAnsi"/>
                <w:sz w:val="20"/>
                <w:szCs w:val="20"/>
              </w:rPr>
              <w:t>K.</w:t>
            </w:r>
            <w:r w:rsidR="009740A5">
              <w:rPr>
                <w:rFonts w:ascii="Ubuntu Light" w:hAnsi="Ubuntu Light" w:cstheme="minorHAnsi"/>
                <w:sz w:val="20"/>
                <w:szCs w:val="20"/>
              </w:rPr>
              <w:t xml:space="preserve"> </w:t>
            </w:r>
            <w:r w:rsidRPr="00603AAB">
              <w:rPr>
                <w:rFonts w:ascii="Ubuntu Light" w:hAnsi="Ubuntu Light" w:cstheme="minorHAnsi"/>
                <w:sz w:val="20"/>
                <w:szCs w:val="20"/>
              </w:rPr>
              <w:t>E., Schulz, M.</w:t>
            </w:r>
            <w:r w:rsidR="009740A5">
              <w:rPr>
                <w:rFonts w:ascii="Ubuntu Light" w:hAnsi="Ubuntu Light" w:cstheme="minorHAnsi"/>
                <w:sz w:val="20"/>
                <w:szCs w:val="20"/>
              </w:rPr>
              <w:t xml:space="preserve"> </w:t>
            </w:r>
            <w:r w:rsidRPr="00603AAB">
              <w:rPr>
                <w:rFonts w:ascii="Ubuntu Light" w:hAnsi="Ubuntu Light" w:cstheme="minorHAnsi"/>
                <w:sz w:val="20"/>
                <w:szCs w:val="20"/>
              </w:rPr>
              <w:t>F., Cohen, S.</w:t>
            </w:r>
            <w:r w:rsidR="009740A5">
              <w:rPr>
                <w:rFonts w:ascii="Ubuntu Light" w:hAnsi="Ubuntu Light" w:cstheme="minorHAnsi"/>
                <w:sz w:val="20"/>
                <w:szCs w:val="20"/>
              </w:rPr>
              <w:t xml:space="preserve"> </w:t>
            </w:r>
            <w:r w:rsidRPr="00603AAB">
              <w:rPr>
                <w:rFonts w:ascii="Ubuntu Light" w:hAnsi="Ubuntu Light" w:cstheme="minorHAnsi"/>
                <w:sz w:val="20"/>
                <w:szCs w:val="20"/>
              </w:rPr>
              <w:t>A., Mullin, B.</w:t>
            </w:r>
            <w:r w:rsidR="009740A5">
              <w:rPr>
                <w:rFonts w:ascii="Ubuntu Light" w:hAnsi="Ubuntu Light" w:cstheme="minorHAnsi"/>
                <w:sz w:val="20"/>
                <w:szCs w:val="20"/>
              </w:rPr>
              <w:t xml:space="preserve"> </w:t>
            </w:r>
            <w:r w:rsidRPr="00603AAB">
              <w:rPr>
                <w:rFonts w:ascii="Ubuntu Light" w:hAnsi="Ubuntu Light" w:cstheme="minorHAnsi"/>
                <w:sz w:val="20"/>
                <w:szCs w:val="20"/>
              </w:rPr>
              <w:t>O., Lehar, S.</w:t>
            </w:r>
            <w:r w:rsidR="009740A5">
              <w:rPr>
                <w:rFonts w:ascii="Ubuntu Light" w:hAnsi="Ubuntu Light" w:cstheme="minorHAnsi"/>
                <w:sz w:val="20"/>
                <w:szCs w:val="20"/>
              </w:rPr>
              <w:t xml:space="preserve"> </w:t>
            </w:r>
            <w:r w:rsidRPr="00603AAB">
              <w:rPr>
                <w:rFonts w:ascii="Ubuntu Light" w:hAnsi="Ubuntu Light" w:cstheme="minorHAnsi"/>
                <w:sz w:val="20"/>
                <w:szCs w:val="20"/>
              </w:rPr>
              <w:t>E., &amp; Tien, S. (2011)</w:t>
            </w:r>
            <w:r w:rsidR="009740A5">
              <w:rPr>
                <w:rFonts w:ascii="Ubuntu Light" w:hAnsi="Ubuntu Light" w:cstheme="minorHAnsi"/>
                <w:sz w:val="20"/>
                <w:szCs w:val="20"/>
              </w:rPr>
              <w:t>.</w:t>
            </w:r>
            <w:r w:rsidRPr="00603AAB">
              <w:rPr>
                <w:rFonts w:ascii="Ubuntu Light" w:hAnsi="Ubuntu Light" w:cstheme="minorHAnsi"/>
                <w:sz w:val="20"/>
                <w:szCs w:val="20"/>
              </w:rPr>
              <w:t xml:space="preserve"> Pursuing cost-effectiveness in mental health service delivery for youth with complex needs. </w:t>
            </w:r>
            <w:r w:rsidRPr="00603AAB">
              <w:rPr>
                <w:rFonts w:ascii="Ubuntu Light" w:hAnsi="Ubuntu Light" w:cstheme="minorHAnsi"/>
                <w:i/>
                <w:iCs/>
                <w:sz w:val="20"/>
                <w:szCs w:val="20"/>
              </w:rPr>
              <w:t>Journal of Mental Health Policy Economics</w:t>
            </w:r>
            <w:r w:rsidR="009740A5" w:rsidRPr="009740A5">
              <w:rPr>
                <w:rFonts w:ascii="Ubuntu Light" w:hAnsi="Ubuntu Light" w:cstheme="minorHAnsi"/>
                <w:i/>
                <w:iCs/>
                <w:sz w:val="20"/>
                <w:szCs w:val="20"/>
              </w:rPr>
              <w:t>,</w:t>
            </w:r>
            <w:r w:rsidRPr="009740A5">
              <w:rPr>
                <w:rFonts w:ascii="Ubuntu Light" w:hAnsi="Ubuntu Light" w:cstheme="minorHAnsi"/>
                <w:i/>
                <w:sz w:val="20"/>
                <w:szCs w:val="20"/>
              </w:rPr>
              <w:t>14</w:t>
            </w:r>
            <w:r w:rsidRPr="00603AAB">
              <w:rPr>
                <w:rFonts w:ascii="Ubuntu Light" w:hAnsi="Ubuntu Light" w:cstheme="minorHAnsi"/>
                <w:sz w:val="20"/>
                <w:szCs w:val="20"/>
              </w:rPr>
              <w:t>(2)</w:t>
            </w:r>
            <w:r w:rsidR="009740A5">
              <w:rPr>
                <w:rFonts w:ascii="Ubuntu Light" w:hAnsi="Ubuntu Light" w:cstheme="minorHAnsi"/>
                <w:sz w:val="20"/>
                <w:szCs w:val="20"/>
              </w:rPr>
              <w:t>,</w:t>
            </w:r>
            <w:r w:rsidRPr="00603AAB">
              <w:rPr>
                <w:rFonts w:ascii="Ubuntu Light" w:hAnsi="Ubuntu Light" w:cstheme="minorHAnsi"/>
                <w:sz w:val="20"/>
                <w:szCs w:val="20"/>
              </w:rPr>
              <w:t xml:space="preserve">73-83. PMID: 21881163.  </w:t>
            </w:r>
            <w:r w:rsidRPr="00603AAB">
              <w:rPr>
                <w:rFonts w:ascii="Ubuntu Light" w:hAnsi="Ubuntu Light" w:cstheme="minorHAnsi"/>
                <w:color w:val="3E6A80"/>
                <w:sz w:val="20"/>
                <w:szCs w:val="20"/>
                <w:u w:val="single"/>
              </w:rPr>
              <w:t>http://childrenshealthinitiative.org/wp-content/uploads/2017/03/Pursuing-cost-effectiveness-in-mental-health-service-delivery-for-youth-with-complex-needs.pdf</w:t>
            </w:r>
          </w:p>
        </w:tc>
        <w:tc>
          <w:tcPr>
            <w:tcW w:w="1440" w:type="dxa"/>
          </w:tcPr>
          <w:p w:rsidR="00E7662F" w:rsidRPr="00603AAB" w:rsidRDefault="00E7662F" w:rsidP="009740A5">
            <w:pPr>
              <w:spacing w:before="40"/>
              <w:rPr>
                <w:rFonts w:cstheme="minorHAnsi"/>
                <w:sz w:val="20"/>
                <w:szCs w:val="20"/>
              </w:rPr>
            </w:pPr>
            <w:r w:rsidRPr="00603AAB">
              <w:rPr>
                <w:sz w:val="20"/>
                <w:szCs w:val="20"/>
              </w:rPr>
              <w:t>2011</w:t>
            </w:r>
          </w:p>
        </w:tc>
        <w:tc>
          <w:tcPr>
            <w:tcW w:w="1615" w:type="dxa"/>
          </w:tcPr>
          <w:p w:rsidR="00E7662F" w:rsidRPr="00603AAB" w:rsidRDefault="00E7662F" w:rsidP="009740A5">
            <w:pPr>
              <w:spacing w:before="40"/>
              <w:rPr>
                <w:rFonts w:cstheme="minorHAnsi"/>
                <w:sz w:val="20"/>
                <w:szCs w:val="20"/>
              </w:rPr>
            </w:pPr>
            <w:r w:rsidRPr="00603AAB">
              <w:rPr>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sz w:val="20"/>
                <w:szCs w:val="20"/>
              </w:rPr>
              <w:t>QED</w:t>
            </w:r>
          </w:p>
        </w:tc>
        <w:tc>
          <w:tcPr>
            <w:tcW w:w="1530" w:type="dxa"/>
          </w:tcPr>
          <w:p w:rsidR="00E7662F" w:rsidRPr="00603AAB" w:rsidRDefault="00E7662F" w:rsidP="009740A5">
            <w:pPr>
              <w:spacing w:before="40"/>
              <w:rPr>
                <w:rFonts w:cstheme="minorHAnsi"/>
                <w:sz w:val="20"/>
                <w:szCs w:val="20"/>
              </w:rPr>
            </w:pPr>
            <w:r w:rsidRPr="00603AAB">
              <w:rPr>
                <w:sz w:val="20"/>
                <w:szCs w:val="20"/>
              </w:rPr>
              <w:t>TAU</w:t>
            </w:r>
          </w:p>
        </w:tc>
        <w:tc>
          <w:tcPr>
            <w:tcW w:w="3155" w:type="dxa"/>
          </w:tcPr>
          <w:p w:rsidR="00E7662F" w:rsidRPr="00603AAB" w:rsidRDefault="00E7662F" w:rsidP="009740A5">
            <w:pPr>
              <w:spacing w:before="40"/>
              <w:rPr>
                <w:rFonts w:cstheme="minorHAnsi"/>
                <w:i/>
                <w:iCs/>
                <w:sz w:val="20"/>
                <w:szCs w:val="20"/>
              </w:rPr>
            </w:pPr>
            <w:r w:rsidRPr="00603AAB">
              <w:rPr>
                <w:sz w:val="20"/>
                <w:szCs w:val="20"/>
              </w:rPr>
              <w:t xml:space="preserve">Child Permanency </w:t>
            </w:r>
            <w:r w:rsidRPr="00603AAB">
              <w:rPr>
                <w:rFonts w:cstheme="minorHAnsi"/>
                <w:sz w:val="20"/>
                <w:szCs w:val="20"/>
              </w:rPr>
              <w:t xml:space="preserve">– </w:t>
            </w:r>
            <w:r w:rsidRPr="00603AAB">
              <w:rPr>
                <w:rFonts w:cstheme="minorHAnsi"/>
                <w:i/>
                <w:iCs/>
                <w:sz w:val="20"/>
                <w:szCs w:val="20"/>
              </w:rPr>
              <w:t>(child placement)</w:t>
            </w:r>
          </w:p>
          <w:p w:rsidR="00E7662F" w:rsidRPr="00603AAB" w:rsidRDefault="00E7662F" w:rsidP="009740A5">
            <w:pPr>
              <w:spacing w:before="40"/>
              <w:rPr>
                <w:rFonts w:cstheme="minorHAnsi"/>
                <w:sz w:val="20"/>
                <w:szCs w:val="20"/>
              </w:rPr>
            </w:pPr>
            <w:r w:rsidRPr="00603AAB">
              <w:rPr>
                <w:sz w:val="20"/>
                <w:szCs w:val="20"/>
              </w:rPr>
              <w:t xml:space="preserve">Child Well-Being </w:t>
            </w:r>
            <w:r w:rsidRPr="00603AAB">
              <w:rPr>
                <w:rFonts w:cstheme="minorHAnsi"/>
                <w:sz w:val="20"/>
                <w:szCs w:val="20"/>
              </w:rPr>
              <w:t xml:space="preserve">– </w:t>
            </w:r>
            <w:r w:rsidRPr="00603AAB">
              <w:rPr>
                <w:sz w:val="20"/>
                <w:szCs w:val="20"/>
              </w:rPr>
              <w:t>(</w:t>
            </w:r>
            <w:r w:rsidRPr="00603AAB">
              <w:rPr>
                <w:rFonts w:cstheme="minorHAnsi"/>
                <w:i/>
                <w:iCs/>
                <w:sz w:val="20"/>
                <w:szCs w:val="20"/>
              </w:rPr>
              <w:t>behavioral and emotional functioning</w:t>
            </w:r>
            <w:r w:rsidRPr="00603AAB">
              <w:rPr>
                <w:sz w:val="20"/>
                <w:szCs w:val="20"/>
              </w:rPr>
              <w:t>)</w:t>
            </w:r>
          </w:p>
        </w:tc>
        <w:tc>
          <w:tcPr>
            <w:tcW w:w="1170" w:type="dxa"/>
          </w:tcPr>
          <w:p w:rsidR="00E7662F" w:rsidRPr="00603AAB" w:rsidRDefault="00E7662F" w:rsidP="009740A5">
            <w:pPr>
              <w:spacing w:before="40"/>
              <w:rPr>
                <w:rFonts w:cstheme="minorHAnsi"/>
                <w:sz w:val="20"/>
                <w:szCs w:val="20"/>
              </w:rPr>
            </w:pPr>
            <w:r w:rsidRPr="00603AAB">
              <w:rPr>
                <w:sz w:val="20"/>
                <w:szCs w:val="20"/>
              </w:rPr>
              <w:t>20,283</w:t>
            </w:r>
          </w:p>
        </w:tc>
        <w:tc>
          <w:tcPr>
            <w:tcW w:w="1512" w:type="dxa"/>
          </w:tcPr>
          <w:p w:rsidR="00E7662F" w:rsidRPr="00603AAB" w:rsidRDefault="00E7662F" w:rsidP="009740A5">
            <w:pPr>
              <w:spacing w:before="40"/>
              <w:rPr>
                <w:rFonts w:cstheme="minorHAnsi"/>
                <w:sz w:val="20"/>
                <w:szCs w:val="20"/>
              </w:rPr>
            </w:pPr>
            <w:r w:rsidRPr="00603AAB">
              <w:rPr>
                <w:sz w:val="20"/>
                <w:szCs w:val="20"/>
              </w:rPr>
              <w:t>12 months</w:t>
            </w:r>
          </w:p>
        </w:tc>
      </w:tr>
      <w:tr w:rsidR="00E7662F" w:rsidRPr="00603AAB" w:rsidTr="002177C0">
        <w:trPr>
          <w:trHeight w:val="1466"/>
        </w:trPr>
        <w:tc>
          <w:tcPr>
            <w:tcW w:w="6570" w:type="dxa"/>
          </w:tcPr>
          <w:p w:rsidR="00E7662F" w:rsidRPr="00603AAB" w:rsidRDefault="00E7662F" w:rsidP="009740A5">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lastRenderedPageBreak/>
              <w:t>McCarter</w:t>
            </w:r>
            <w:r w:rsidRPr="009740A5">
              <w:rPr>
                <w:rFonts w:ascii="Ubuntu Light" w:hAnsi="Ubuntu Light" w:cstheme="minorHAnsi"/>
                <w:sz w:val="20"/>
                <w:szCs w:val="20"/>
              </w:rPr>
              <w:t xml:space="preserve">, </w:t>
            </w:r>
            <w:r w:rsidRPr="00603AAB">
              <w:rPr>
                <w:rFonts w:ascii="Ubuntu Light" w:hAnsi="Ubuntu Light" w:cstheme="minorHAnsi"/>
                <w:sz w:val="20"/>
                <w:szCs w:val="20"/>
              </w:rPr>
              <w:t xml:space="preserve">S. A. (2016). Holistic </w:t>
            </w:r>
            <w:r w:rsidR="009740A5">
              <w:rPr>
                <w:rFonts w:ascii="Ubuntu Light" w:hAnsi="Ubuntu Light" w:cstheme="minorHAnsi"/>
                <w:sz w:val="20"/>
                <w:szCs w:val="20"/>
              </w:rPr>
              <w:t>r</w:t>
            </w:r>
            <w:r w:rsidRPr="00603AAB">
              <w:rPr>
                <w:rFonts w:ascii="Ubuntu Light" w:hAnsi="Ubuntu Light" w:cstheme="minorHAnsi"/>
                <w:sz w:val="20"/>
                <w:szCs w:val="20"/>
              </w:rPr>
              <w:t xml:space="preserve">epresentation: A </w:t>
            </w:r>
            <w:r w:rsidR="009740A5" w:rsidRPr="00603AAB">
              <w:rPr>
                <w:rFonts w:ascii="Ubuntu Light" w:hAnsi="Ubuntu Light" w:cstheme="minorHAnsi"/>
                <w:sz w:val="20"/>
                <w:szCs w:val="20"/>
              </w:rPr>
              <w:t>randomized pilot study of wraparound services for first-time juvenile offenders to improve functioning, decrease motions for review, and lower recidiv</w:t>
            </w:r>
            <w:r w:rsidRPr="00603AAB">
              <w:rPr>
                <w:rFonts w:ascii="Ubuntu Light" w:hAnsi="Ubuntu Light" w:cstheme="minorHAnsi"/>
                <w:sz w:val="20"/>
                <w:szCs w:val="20"/>
              </w:rPr>
              <w:t xml:space="preserve">ism. </w:t>
            </w:r>
            <w:r w:rsidRPr="00603AAB">
              <w:rPr>
                <w:rFonts w:ascii="Ubuntu Light" w:hAnsi="Ubuntu Light" w:cstheme="minorHAnsi"/>
                <w:i/>
                <w:iCs/>
                <w:sz w:val="20"/>
                <w:szCs w:val="20"/>
              </w:rPr>
              <w:t>Family Court Review</w:t>
            </w:r>
            <w:r w:rsidRPr="00603AAB">
              <w:rPr>
                <w:rFonts w:ascii="Ubuntu Light" w:hAnsi="Ubuntu Light" w:cstheme="minorHAnsi"/>
                <w:sz w:val="20"/>
                <w:szCs w:val="20"/>
              </w:rPr>
              <w:t>,</w:t>
            </w:r>
            <w:r w:rsidRPr="009740A5">
              <w:rPr>
                <w:rFonts w:ascii="Ubuntu Light" w:hAnsi="Ubuntu Light" w:cstheme="minorHAnsi"/>
                <w:i/>
                <w:sz w:val="20"/>
                <w:szCs w:val="20"/>
              </w:rPr>
              <w:t xml:space="preserve"> 54</w:t>
            </w:r>
            <w:r w:rsidRPr="00603AAB">
              <w:rPr>
                <w:rFonts w:ascii="Ubuntu Light" w:hAnsi="Ubuntu Light" w:cstheme="minorHAnsi"/>
                <w:sz w:val="20"/>
                <w:szCs w:val="20"/>
              </w:rPr>
              <w:t>(2)</w:t>
            </w:r>
            <w:r w:rsidR="009740A5">
              <w:rPr>
                <w:rFonts w:ascii="Ubuntu Light" w:hAnsi="Ubuntu Light" w:cstheme="minorHAnsi"/>
                <w:sz w:val="20"/>
                <w:szCs w:val="20"/>
              </w:rPr>
              <w:t xml:space="preserve">, </w:t>
            </w:r>
            <w:r w:rsidRPr="00603AAB">
              <w:rPr>
                <w:rFonts w:ascii="Ubuntu Light" w:hAnsi="Ubuntu Light" w:cstheme="minorHAnsi"/>
                <w:sz w:val="20"/>
                <w:szCs w:val="20"/>
              </w:rPr>
              <w:t>250-260. D</w:t>
            </w:r>
            <w:r w:rsidR="009740A5">
              <w:rPr>
                <w:rFonts w:ascii="Ubuntu Light" w:hAnsi="Ubuntu Light" w:cstheme="minorHAnsi"/>
                <w:sz w:val="20"/>
                <w:szCs w:val="20"/>
              </w:rPr>
              <w:t>oi</w:t>
            </w:r>
            <w:r w:rsidRPr="00603AAB">
              <w:rPr>
                <w:rFonts w:ascii="Ubuntu Light" w:hAnsi="Ubuntu Light" w:cstheme="minorHAnsi"/>
                <w:sz w:val="20"/>
                <w:szCs w:val="20"/>
              </w:rPr>
              <w:t xml:space="preserve">: 10.1111/fcre.12216  </w:t>
            </w:r>
            <w:r w:rsidRPr="00603AAB">
              <w:rPr>
                <w:rFonts w:ascii="Ubuntu Light" w:hAnsi="Ubuntu Light" w:cstheme="minorHAnsi"/>
                <w:color w:val="3E6A80"/>
                <w:sz w:val="20"/>
                <w:szCs w:val="20"/>
                <w:u w:val="single"/>
              </w:rPr>
              <w:t>https://onlinelibrary.wiley.com/doi/pdf/10.1111/fcre.12216</w:t>
            </w:r>
          </w:p>
        </w:tc>
        <w:tc>
          <w:tcPr>
            <w:tcW w:w="1440" w:type="dxa"/>
          </w:tcPr>
          <w:p w:rsidR="00E7662F" w:rsidRPr="00603AAB" w:rsidRDefault="00E7662F" w:rsidP="009740A5">
            <w:pPr>
              <w:spacing w:before="40"/>
              <w:rPr>
                <w:rFonts w:cstheme="minorHAnsi"/>
                <w:sz w:val="20"/>
                <w:szCs w:val="20"/>
              </w:rPr>
            </w:pPr>
            <w:r w:rsidRPr="00603AAB">
              <w:rPr>
                <w:rFonts w:cstheme="minorHAnsi"/>
                <w:sz w:val="20"/>
                <w:szCs w:val="20"/>
              </w:rPr>
              <w:t>2016</w:t>
            </w:r>
          </w:p>
        </w:tc>
        <w:tc>
          <w:tcPr>
            <w:tcW w:w="1615" w:type="dxa"/>
          </w:tcPr>
          <w:p w:rsidR="00E7662F" w:rsidRPr="00603AAB" w:rsidRDefault="00E7662F" w:rsidP="009740A5">
            <w:pPr>
              <w:spacing w:before="40"/>
              <w:rPr>
                <w:rFonts w:cstheme="minorHAnsi"/>
                <w:sz w:val="20"/>
                <w:szCs w:val="20"/>
              </w:rPr>
            </w:pPr>
            <w:r w:rsidRPr="00603AAB">
              <w:rPr>
                <w:rFonts w:cstheme="minorHAnsi"/>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rFonts w:cstheme="minorHAnsi"/>
                <w:sz w:val="20"/>
                <w:szCs w:val="20"/>
              </w:rPr>
              <w:t>RCT</w:t>
            </w:r>
          </w:p>
        </w:tc>
        <w:tc>
          <w:tcPr>
            <w:tcW w:w="1530" w:type="dxa"/>
          </w:tcPr>
          <w:p w:rsidR="00E7662F" w:rsidRPr="00603AAB" w:rsidRDefault="00E7662F" w:rsidP="009740A5">
            <w:pPr>
              <w:spacing w:before="40"/>
              <w:rPr>
                <w:rFonts w:cstheme="minorHAnsi"/>
                <w:sz w:val="20"/>
                <w:szCs w:val="20"/>
              </w:rPr>
            </w:pPr>
            <w:r w:rsidRPr="00603AAB">
              <w:rPr>
                <w:rFonts w:cstheme="minorHAnsi"/>
                <w:sz w:val="20"/>
                <w:szCs w:val="20"/>
              </w:rPr>
              <w:t>TAU</w:t>
            </w:r>
          </w:p>
        </w:tc>
        <w:tc>
          <w:tcPr>
            <w:tcW w:w="3155" w:type="dxa"/>
          </w:tcPr>
          <w:p w:rsidR="00E7662F" w:rsidRPr="00603AAB" w:rsidRDefault="00E7662F" w:rsidP="009740A5">
            <w:pPr>
              <w:spacing w:before="40"/>
              <w:rPr>
                <w:rFonts w:cstheme="minorHAnsi"/>
                <w:sz w:val="20"/>
                <w:szCs w:val="20"/>
              </w:rPr>
            </w:pPr>
            <w:r w:rsidRPr="00603AAB">
              <w:rPr>
                <w:rFonts w:cstheme="minorHAnsi"/>
                <w:sz w:val="20"/>
                <w:szCs w:val="20"/>
              </w:rPr>
              <w:t>Child Well-Being – (</w:t>
            </w:r>
            <w:r w:rsidRPr="00603AAB">
              <w:rPr>
                <w:rFonts w:cstheme="minorHAnsi"/>
                <w:i/>
                <w:iCs/>
                <w:sz w:val="20"/>
                <w:szCs w:val="20"/>
              </w:rPr>
              <w:t>behavioral and emotional functioning and social functioning)</w:t>
            </w:r>
          </w:p>
        </w:tc>
        <w:tc>
          <w:tcPr>
            <w:tcW w:w="1170" w:type="dxa"/>
          </w:tcPr>
          <w:p w:rsidR="00E7662F" w:rsidRPr="00603AAB" w:rsidRDefault="00E7662F" w:rsidP="009740A5">
            <w:pPr>
              <w:spacing w:before="40"/>
              <w:rPr>
                <w:rFonts w:cstheme="minorHAnsi"/>
                <w:sz w:val="20"/>
                <w:szCs w:val="20"/>
              </w:rPr>
            </w:pPr>
            <w:r w:rsidRPr="00603AAB">
              <w:rPr>
                <w:rFonts w:cstheme="minorHAnsi"/>
                <w:sz w:val="20"/>
                <w:szCs w:val="20"/>
              </w:rPr>
              <w:t>29</w:t>
            </w:r>
          </w:p>
          <w:p w:rsidR="00E7662F" w:rsidRPr="00603AAB" w:rsidRDefault="00E7662F" w:rsidP="009740A5">
            <w:pPr>
              <w:rPr>
                <w:rFonts w:cstheme="minorHAnsi"/>
                <w:sz w:val="20"/>
                <w:szCs w:val="20"/>
              </w:rPr>
            </w:pPr>
          </w:p>
        </w:tc>
        <w:tc>
          <w:tcPr>
            <w:tcW w:w="1512" w:type="dxa"/>
          </w:tcPr>
          <w:p w:rsidR="00E7662F" w:rsidRPr="00603AAB" w:rsidRDefault="00E7662F" w:rsidP="009740A5">
            <w:pPr>
              <w:spacing w:before="40"/>
              <w:rPr>
                <w:rFonts w:cstheme="minorHAnsi"/>
                <w:sz w:val="20"/>
                <w:szCs w:val="20"/>
              </w:rPr>
            </w:pPr>
            <w:r w:rsidRPr="00603AAB">
              <w:rPr>
                <w:rFonts w:cstheme="minorHAnsi"/>
                <w:sz w:val="20"/>
                <w:szCs w:val="20"/>
              </w:rPr>
              <w:t>6 months</w:t>
            </w:r>
          </w:p>
          <w:p w:rsidR="00E7662F" w:rsidRPr="00603AAB" w:rsidRDefault="00E7662F" w:rsidP="009740A5">
            <w:pPr>
              <w:rPr>
                <w:rFonts w:cstheme="minorHAnsi"/>
                <w:sz w:val="20"/>
                <w:szCs w:val="20"/>
              </w:rPr>
            </w:pPr>
          </w:p>
          <w:p w:rsidR="00E7662F" w:rsidRPr="00603AAB" w:rsidRDefault="00E7662F" w:rsidP="009740A5">
            <w:pPr>
              <w:rPr>
                <w:rFonts w:cstheme="minorHAnsi"/>
                <w:sz w:val="20"/>
                <w:szCs w:val="20"/>
              </w:rPr>
            </w:pPr>
          </w:p>
          <w:p w:rsidR="00E7662F" w:rsidRPr="00603AAB" w:rsidRDefault="00E7662F" w:rsidP="009740A5">
            <w:pPr>
              <w:rPr>
                <w:rFonts w:cstheme="minorHAnsi"/>
                <w:sz w:val="20"/>
                <w:szCs w:val="20"/>
              </w:rPr>
            </w:pPr>
          </w:p>
          <w:p w:rsidR="00E7662F" w:rsidRPr="00603AAB" w:rsidRDefault="00E7662F" w:rsidP="009740A5">
            <w:pPr>
              <w:rPr>
                <w:rFonts w:cstheme="minorHAnsi"/>
                <w:sz w:val="20"/>
                <w:szCs w:val="20"/>
              </w:rPr>
            </w:pPr>
          </w:p>
        </w:tc>
      </w:tr>
      <w:tr w:rsidR="00E7662F" w:rsidRPr="00603AAB" w:rsidTr="002177C0">
        <w:tc>
          <w:tcPr>
            <w:tcW w:w="6570" w:type="dxa"/>
          </w:tcPr>
          <w:p w:rsidR="00E7662F" w:rsidRPr="00603AAB" w:rsidRDefault="00E7662F" w:rsidP="009740A5">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t>Mears,</w:t>
            </w:r>
            <w:r w:rsidRPr="009740A5">
              <w:rPr>
                <w:rFonts w:ascii="Ubuntu Light" w:hAnsi="Ubuntu Light" w:cstheme="minorHAnsi"/>
                <w:sz w:val="20"/>
                <w:szCs w:val="20"/>
              </w:rPr>
              <w:t xml:space="preserve"> S</w:t>
            </w:r>
            <w:r w:rsidRPr="00603AAB">
              <w:rPr>
                <w:rFonts w:ascii="Ubuntu Light" w:hAnsi="Ubuntu Light" w:cstheme="minorHAnsi"/>
                <w:sz w:val="20"/>
                <w:szCs w:val="20"/>
              </w:rPr>
              <w:t xml:space="preserve">. L., Yaffe, J., &amp; Harris, N. J. (2009). Evaluation of Wraparound services for severely emotionally disturbed youths. </w:t>
            </w:r>
            <w:r w:rsidRPr="00603AAB">
              <w:rPr>
                <w:rFonts w:ascii="Ubuntu Light" w:hAnsi="Ubuntu Light" w:cstheme="minorHAnsi"/>
                <w:i/>
                <w:iCs/>
                <w:sz w:val="20"/>
                <w:szCs w:val="20"/>
              </w:rPr>
              <w:t>Research on Social Work Practice</w:t>
            </w:r>
            <w:r w:rsidR="009740A5">
              <w:rPr>
                <w:rFonts w:ascii="Ubuntu Light" w:hAnsi="Ubuntu Light" w:cstheme="minorHAnsi"/>
                <w:sz w:val="20"/>
                <w:szCs w:val="20"/>
              </w:rPr>
              <w:t>,</w:t>
            </w:r>
            <w:r w:rsidR="009740A5" w:rsidRPr="009740A5">
              <w:rPr>
                <w:rFonts w:ascii="Ubuntu Light" w:hAnsi="Ubuntu Light" w:cstheme="minorHAnsi"/>
                <w:i/>
                <w:sz w:val="20"/>
                <w:szCs w:val="20"/>
              </w:rPr>
              <w:t xml:space="preserve"> 19</w:t>
            </w:r>
            <w:r w:rsidRPr="00603AAB">
              <w:rPr>
                <w:rFonts w:ascii="Ubuntu Light" w:hAnsi="Ubuntu Light" w:cstheme="minorHAnsi"/>
                <w:sz w:val="20"/>
                <w:szCs w:val="20"/>
              </w:rPr>
              <w:t xml:space="preserve">(6) 678-685. </w:t>
            </w:r>
            <w:r w:rsidR="009740A5">
              <w:rPr>
                <w:rFonts w:ascii="Ubuntu Light" w:hAnsi="Ubuntu Light" w:cstheme="minorHAnsi"/>
                <w:sz w:val="20"/>
                <w:szCs w:val="20"/>
              </w:rPr>
              <w:t>D</w:t>
            </w:r>
            <w:r w:rsidRPr="00603AAB">
              <w:rPr>
                <w:rFonts w:ascii="Ubuntu Light" w:hAnsi="Ubuntu Light" w:cstheme="minorHAnsi"/>
                <w:sz w:val="20"/>
                <w:szCs w:val="20"/>
              </w:rPr>
              <w:t xml:space="preserve">oi:10.1177/1049731508329385  </w:t>
            </w:r>
            <w:hyperlink r:id="rId88" w:history="1">
              <w:r w:rsidRPr="00603AAB">
                <w:rPr>
                  <w:rFonts w:ascii="Ubuntu Light" w:hAnsi="Ubuntu Light" w:cstheme="minorHAnsi"/>
                  <w:color w:val="3E6A80"/>
                  <w:sz w:val="20"/>
                  <w:szCs w:val="20"/>
                  <w:u w:val="single"/>
                </w:rPr>
                <w:t>https://journals.sagepub.com/doi/pdf/10.1177/1049731508329385</w:t>
              </w:r>
            </w:hyperlink>
          </w:p>
        </w:tc>
        <w:tc>
          <w:tcPr>
            <w:tcW w:w="1440" w:type="dxa"/>
          </w:tcPr>
          <w:p w:rsidR="00E7662F" w:rsidRPr="00603AAB" w:rsidRDefault="00E7662F" w:rsidP="009740A5">
            <w:pPr>
              <w:spacing w:before="40"/>
              <w:rPr>
                <w:rFonts w:cstheme="minorHAnsi"/>
                <w:sz w:val="20"/>
                <w:szCs w:val="20"/>
              </w:rPr>
            </w:pPr>
            <w:r w:rsidRPr="00603AAB">
              <w:rPr>
                <w:sz w:val="20"/>
                <w:szCs w:val="20"/>
              </w:rPr>
              <w:t>2009</w:t>
            </w:r>
          </w:p>
        </w:tc>
        <w:tc>
          <w:tcPr>
            <w:tcW w:w="1615" w:type="dxa"/>
          </w:tcPr>
          <w:p w:rsidR="00E7662F" w:rsidRPr="00603AAB" w:rsidRDefault="00E7662F" w:rsidP="009740A5">
            <w:pPr>
              <w:spacing w:before="40"/>
              <w:rPr>
                <w:rFonts w:cstheme="minorHAnsi"/>
                <w:sz w:val="20"/>
                <w:szCs w:val="20"/>
              </w:rPr>
            </w:pPr>
            <w:r w:rsidRPr="00603AAB">
              <w:rPr>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sz w:val="20"/>
                <w:szCs w:val="20"/>
              </w:rPr>
              <w:t>QED</w:t>
            </w:r>
          </w:p>
        </w:tc>
        <w:tc>
          <w:tcPr>
            <w:tcW w:w="1530" w:type="dxa"/>
          </w:tcPr>
          <w:p w:rsidR="00E7662F" w:rsidRPr="00603AAB" w:rsidRDefault="00E7662F" w:rsidP="009740A5">
            <w:pPr>
              <w:spacing w:before="40"/>
              <w:rPr>
                <w:rFonts w:cstheme="minorHAnsi"/>
                <w:sz w:val="20"/>
                <w:szCs w:val="20"/>
              </w:rPr>
            </w:pPr>
            <w:r w:rsidRPr="00603AAB">
              <w:rPr>
                <w:sz w:val="20"/>
                <w:szCs w:val="20"/>
              </w:rPr>
              <w:t>TAU</w:t>
            </w:r>
          </w:p>
        </w:tc>
        <w:tc>
          <w:tcPr>
            <w:tcW w:w="3155" w:type="dxa"/>
          </w:tcPr>
          <w:p w:rsidR="00E7662F" w:rsidRPr="00603AAB" w:rsidRDefault="00E7662F" w:rsidP="009740A5">
            <w:pPr>
              <w:spacing w:before="40"/>
              <w:rPr>
                <w:rFonts w:cstheme="minorHAnsi"/>
                <w:sz w:val="20"/>
                <w:szCs w:val="20"/>
              </w:rPr>
            </w:pPr>
            <w:r w:rsidRPr="00603AAB">
              <w:rPr>
                <w:sz w:val="20"/>
                <w:szCs w:val="20"/>
              </w:rPr>
              <w:t xml:space="preserve">Child Permanency – </w:t>
            </w:r>
            <w:r w:rsidRPr="00603AAB">
              <w:rPr>
                <w:i/>
                <w:iCs/>
                <w:sz w:val="20"/>
                <w:szCs w:val="20"/>
              </w:rPr>
              <w:t>(residential placement)</w:t>
            </w:r>
            <w:r w:rsidRPr="00603AAB">
              <w:rPr>
                <w:sz w:val="20"/>
                <w:szCs w:val="20"/>
              </w:rPr>
              <w:t xml:space="preserve"> Child Well-Being </w:t>
            </w:r>
            <w:r w:rsidRPr="00603AAB">
              <w:rPr>
                <w:rFonts w:cstheme="minorHAnsi"/>
                <w:sz w:val="20"/>
                <w:szCs w:val="20"/>
              </w:rPr>
              <w:t xml:space="preserve">– </w:t>
            </w:r>
            <w:r w:rsidRPr="00603AAB">
              <w:rPr>
                <w:i/>
                <w:iCs/>
                <w:sz w:val="20"/>
                <w:szCs w:val="20"/>
              </w:rPr>
              <w:t>(behavior and emotional functioning, social functioning, educational achievement and attainment)</w:t>
            </w:r>
            <w:r w:rsidRPr="00603AAB">
              <w:rPr>
                <w:sz w:val="20"/>
                <w:szCs w:val="20"/>
              </w:rPr>
              <w:t xml:space="preserve"> </w:t>
            </w:r>
          </w:p>
        </w:tc>
        <w:tc>
          <w:tcPr>
            <w:tcW w:w="1170" w:type="dxa"/>
          </w:tcPr>
          <w:p w:rsidR="00E7662F" w:rsidRPr="00603AAB" w:rsidRDefault="00E7662F" w:rsidP="009740A5">
            <w:pPr>
              <w:spacing w:before="40"/>
              <w:rPr>
                <w:rFonts w:cstheme="minorHAnsi"/>
                <w:sz w:val="20"/>
                <w:szCs w:val="20"/>
              </w:rPr>
            </w:pPr>
            <w:r w:rsidRPr="00603AAB">
              <w:rPr>
                <w:sz w:val="20"/>
                <w:szCs w:val="20"/>
              </w:rPr>
              <w:t>126</w:t>
            </w:r>
          </w:p>
        </w:tc>
        <w:tc>
          <w:tcPr>
            <w:tcW w:w="1512" w:type="dxa"/>
          </w:tcPr>
          <w:p w:rsidR="00E7662F" w:rsidRPr="00603AAB" w:rsidRDefault="00E7662F" w:rsidP="009740A5">
            <w:pPr>
              <w:spacing w:before="40"/>
              <w:rPr>
                <w:rFonts w:cstheme="minorHAnsi"/>
                <w:sz w:val="20"/>
                <w:szCs w:val="20"/>
              </w:rPr>
            </w:pPr>
            <w:r w:rsidRPr="00603AAB">
              <w:rPr>
                <w:sz w:val="20"/>
                <w:szCs w:val="20"/>
              </w:rPr>
              <w:t>6 months</w:t>
            </w:r>
          </w:p>
        </w:tc>
      </w:tr>
      <w:tr w:rsidR="00E7662F" w:rsidRPr="00603AAB" w:rsidTr="002177C0">
        <w:tc>
          <w:tcPr>
            <w:tcW w:w="6570" w:type="dxa"/>
          </w:tcPr>
          <w:p w:rsidR="00E7662F" w:rsidRPr="00603AAB" w:rsidRDefault="00E7662F" w:rsidP="009740A5">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t>Pullman</w:t>
            </w:r>
            <w:r w:rsidRPr="009740A5">
              <w:rPr>
                <w:rFonts w:ascii="Ubuntu Light" w:hAnsi="Ubuntu Light" w:cstheme="minorHAnsi"/>
                <w:sz w:val="20"/>
                <w:szCs w:val="20"/>
              </w:rPr>
              <w:t xml:space="preserve">, </w:t>
            </w:r>
            <w:r w:rsidRPr="00603AAB">
              <w:rPr>
                <w:rFonts w:ascii="Ubuntu Light" w:hAnsi="Ubuntu Light" w:cstheme="minorHAnsi"/>
                <w:sz w:val="20"/>
                <w:szCs w:val="20"/>
              </w:rPr>
              <w:t xml:space="preserve">M. D., Kerbs, J., Koroloff, N., Veach-White, E., Gaylor, R., &amp; Sieler, D. (2006). Juvenile offenders with mental health needs: Reducing recidivism using Wraparound. </w:t>
            </w:r>
            <w:r w:rsidRPr="00603AAB">
              <w:rPr>
                <w:rFonts w:ascii="Ubuntu Light" w:hAnsi="Ubuntu Light" w:cstheme="minorHAnsi"/>
                <w:i/>
                <w:iCs/>
                <w:sz w:val="20"/>
                <w:szCs w:val="20"/>
              </w:rPr>
              <w:t>Crime and Delinquency</w:t>
            </w:r>
            <w:r w:rsidRPr="00603AAB">
              <w:rPr>
                <w:rFonts w:ascii="Ubuntu Light" w:hAnsi="Ubuntu Light" w:cstheme="minorHAnsi"/>
                <w:sz w:val="20"/>
                <w:szCs w:val="20"/>
              </w:rPr>
              <w:t xml:space="preserve">, </w:t>
            </w:r>
            <w:r w:rsidRPr="009740A5">
              <w:rPr>
                <w:rFonts w:ascii="Ubuntu Light" w:hAnsi="Ubuntu Light" w:cstheme="minorHAnsi"/>
                <w:i/>
                <w:sz w:val="20"/>
                <w:szCs w:val="20"/>
              </w:rPr>
              <w:t>52</w:t>
            </w:r>
            <w:r w:rsidRPr="00603AAB">
              <w:rPr>
                <w:rFonts w:ascii="Ubuntu Light" w:hAnsi="Ubuntu Light" w:cstheme="minorHAnsi"/>
                <w:sz w:val="20"/>
                <w:szCs w:val="20"/>
              </w:rPr>
              <w:t xml:space="preserve">(3), 375-397. </w:t>
            </w:r>
            <w:r w:rsidR="009740A5">
              <w:rPr>
                <w:rFonts w:ascii="Ubuntu Light" w:hAnsi="Ubuntu Light" w:cstheme="minorHAnsi"/>
                <w:sz w:val="20"/>
                <w:szCs w:val="20"/>
              </w:rPr>
              <w:t>D</w:t>
            </w:r>
            <w:r w:rsidRPr="00603AAB">
              <w:rPr>
                <w:rFonts w:ascii="Ubuntu Light" w:hAnsi="Ubuntu Light" w:cstheme="minorHAnsi"/>
                <w:sz w:val="20"/>
                <w:szCs w:val="20"/>
              </w:rPr>
              <w:t xml:space="preserve">oi:10.1177/0011128705278632.  </w:t>
            </w:r>
            <w:hyperlink r:id="rId89" w:history="1">
              <w:r w:rsidRPr="00603AAB">
                <w:rPr>
                  <w:rStyle w:val="Hyperlink"/>
                  <w:rFonts w:ascii="Ubuntu Light" w:hAnsi="Ubuntu Light" w:cstheme="minorHAnsi"/>
                  <w:color w:val="3E6A80"/>
                  <w:sz w:val="20"/>
                  <w:szCs w:val="20"/>
                </w:rPr>
                <w:t>https://journals.sagepub.com/doi/pdf/10.1177/0011128705278632</w:t>
              </w:r>
            </w:hyperlink>
          </w:p>
        </w:tc>
        <w:tc>
          <w:tcPr>
            <w:tcW w:w="1440" w:type="dxa"/>
          </w:tcPr>
          <w:p w:rsidR="00E7662F" w:rsidRPr="00603AAB" w:rsidRDefault="00E7662F" w:rsidP="009740A5">
            <w:pPr>
              <w:spacing w:before="40"/>
              <w:rPr>
                <w:rFonts w:cstheme="minorHAnsi"/>
                <w:sz w:val="20"/>
                <w:szCs w:val="20"/>
              </w:rPr>
            </w:pPr>
            <w:r w:rsidRPr="00603AAB">
              <w:rPr>
                <w:sz w:val="20"/>
                <w:szCs w:val="20"/>
              </w:rPr>
              <w:t>2006</w:t>
            </w:r>
          </w:p>
        </w:tc>
        <w:tc>
          <w:tcPr>
            <w:tcW w:w="1615" w:type="dxa"/>
          </w:tcPr>
          <w:p w:rsidR="00E7662F" w:rsidRPr="00603AAB" w:rsidRDefault="00E7662F" w:rsidP="009740A5">
            <w:pPr>
              <w:spacing w:before="40"/>
              <w:rPr>
                <w:rFonts w:cstheme="minorHAnsi"/>
                <w:sz w:val="20"/>
                <w:szCs w:val="20"/>
              </w:rPr>
            </w:pPr>
            <w:r w:rsidRPr="00603AAB">
              <w:rPr>
                <w:sz w:val="20"/>
                <w:szCs w:val="20"/>
              </w:rPr>
              <w:t>Peer-reviewed journal</w:t>
            </w:r>
          </w:p>
        </w:tc>
        <w:tc>
          <w:tcPr>
            <w:tcW w:w="1260" w:type="dxa"/>
          </w:tcPr>
          <w:p w:rsidR="00E7662F" w:rsidRPr="00603AAB" w:rsidRDefault="00E7662F" w:rsidP="009740A5">
            <w:pPr>
              <w:spacing w:before="40"/>
              <w:rPr>
                <w:rFonts w:cstheme="minorHAnsi"/>
                <w:sz w:val="20"/>
                <w:szCs w:val="20"/>
              </w:rPr>
            </w:pPr>
            <w:r w:rsidRPr="00603AAB">
              <w:rPr>
                <w:sz w:val="20"/>
                <w:szCs w:val="20"/>
              </w:rPr>
              <w:t>QED</w:t>
            </w:r>
          </w:p>
        </w:tc>
        <w:tc>
          <w:tcPr>
            <w:tcW w:w="1530" w:type="dxa"/>
          </w:tcPr>
          <w:p w:rsidR="00E7662F" w:rsidRPr="00603AAB" w:rsidRDefault="00E7662F" w:rsidP="009740A5">
            <w:pPr>
              <w:spacing w:before="40"/>
              <w:rPr>
                <w:rFonts w:cstheme="minorHAnsi"/>
                <w:sz w:val="20"/>
                <w:szCs w:val="20"/>
              </w:rPr>
            </w:pPr>
            <w:r w:rsidRPr="00603AAB">
              <w:rPr>
                <w:sz w:val="20"/>
                <w:szCs w:val="20"/>
              </w:rPr>
              <w:t>TAU</w:t>
            </w:r>
          </w:p>
        </w:tc>
        <w:tc>
          <w:tcPr>
            <w:tcW w:w="3155" w:type="dxa"/>
          </w:tcPr>
          <w:p w:rsidR="00E7662F" w:rsidRPr="00603AAB" w:rsidRDefault="00E7662F" w:rsidP="009740A5">
            <w:pPr>
              <w:spacing w:before="40"/>
              <w:rPr>
                <w:rFonts w:cstheme="minorHAnsi"/>
                <w:sz w:val="20"/>
                <w:szCs w:val="20"/>
              </w:rPr>
            </w:pPr>
            <w:r w:rsidRPr="00603AAB">
              <w:rPr>
                <w:sz w:val="20"/>
                <w:szCs w:val="20"/>
              </w:rPr>
              <w:t xml:space="preserve">Child Well-Being </w:t>
            </w:r>
            <w:r w:rsidRPr="00603AAB">
              <w:rPr>
                <w:rFonts w:cstheme="minorHAnsi"/>
                <w:sz w:val="20"/>
                <w:szCs w:val="20"/>
              </w:rPr>
              <w:t xml:space="preserve">– </w:t>
            </w:r>
            <w:r w:rsidRPr="00603AAB">
              <w:rPr>
                <w:rFonts w:cstheme="minorHAnsi"/>
                <w:i/>
                <w:iCs/>
                <w:sz w:val="20"/>
                <w:szCs w:val="20"/>
              </w:rPr>
              <w:t>(delinquent behavior)</w:t>
            </w:r>
          </w:p>
        </w:tc>
        <w:tc>
          <w:tcPr>
            <w:tcW w:w="1170" w:type="dxa"/>
          </w:tcPr>
          <w:p w:rsidR="00E7662F" w:rsidRPr="00603AAB" w:rsidRDefault="00E7662F" w:rsidP="009740A5">
            <w:pPr>
              <w:spacing w:before="40"/>
              <w:rPr>
                <w:rFonts w:cstheme="minorHAnsi"/>
                <w:sz w:val="20"/>
                <w:szCs w:val="20"/>
              </w:rPr>
            </w:pPr>
            <w:r w:rsidRPr="00603AAB">
              <w:rPr>
                <w:sz w:val="20"/>
                <w:szCs w:val="20"/>
              </w:rPr>
              <w:t>204</w:t>
            </w:r>
          </w:p>
        </w:tc>
        <w:tc>
          <w:tcPr>
            <w:tcW w:w="1512" w:type="dxa"/>
          </w:tcPr>
          <w:p w:rsidR="00E7662F" w:rsidRPr="00603AAB" w:rsidRDefault="00E7662F" w:rsidP="009740A5">
            <w:pPr>
              <w:spacing w:before="40"/>
              <w:rPr>
                <w:rFonts w:cstheme="minorHAnsi"/>
                <w:sz w:val="20"/>
                <w:szCs w:val="20"/>
              </w:rPr>
            </w:pPr>
            <w:r w:rsidRPr="00603AAB">
              <w:rPr>
                <w:sz w:val="20"/>
                <w:szCs w:val="20"/>
              </w:rPr>
              <w:t>&gt;24 months</w:t>
            </w:r>
          </w:p>
        </w:tc>
      </w:tr>
      <w:tr w:rsidR="00E7662F" w:rsidRPr="00603AAB" w:rsidTr="002177C0">
        <w:tc>
          <w:tcPr>
            <w:tcW w:w="6570" w:type="dxa"/>
          </w:tcPr>
          <w:p w:rsidR="00E7662F" w:rsidRPr="00603AAB" w:rsidRDefault="00E7662F" w:rsidP="00E7662F">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t>Rast,</w:t>
            </w:r>
            <w:r w:rsidRPr="009740A5">
              <w:rPr>
                <w:rFonts w:ascii="Ubuntu Light" w:hAnsi="Ubuntu Light" w:cstheme="minorHAnsi"/>
                <w:sz w:val="20"/>
                <w:szCs w:val="20"/>
              </w:rPr>
              <w:t xml:space="preserve"> J.</w:t>
            </w:r>
            <w:r w:rsidRPr="00603AAB">
              <w:rPr>
                <w:rFonts w:ascii="Ubuntu Light" w:hAnsi="Ubuntu Light" w:cstheme="minorHAnsi"/>
                <w:sz w:val="20"/>
                <w:szCs w:val="20"/>
              </w:rPr>
              <w:t xml:space="preserve">, Bruns, E. J., Brown, E. C., Peterson, C. R., &amp; Mears, S. L. (2008). Outcomes of the wraparound process for children involved in the child welfare system: Results of a matched comparison study. </w:t>
            </w:r>
          </w:p>
        </w:tc>
        <w:tc>
          <w:tcPr>
            <w:tcW w:w="1440" w:type="dxa"/>
          </w:tcPr>
          <w:p w:rsidR="00E7662F" w:rsidRPr="00603AAB" w:rsidRDefault="00E7662F" w:rsidP="009740A5">
            <w:pPr>
              <w:spacing w:before="40"/>
              <w:rPr>
                <w:rFonts w:cstheme="minorHAnsi"/>
                <w:sz w:val="20"/>
                <w:szCs w:val="20"/>
              </w:rPr>
            </w:pPr>
            <w:r w:rsidRPr="00603AAB">
              <w:rPr>
                <w:sz w:val="20"/>
                <w:szCs w:val="20"/>
              </w:rPr>
              <w:t>2008</w:t>
            </w:r>
          </w:p>
        </w:tc>
        <w:tc>
          <w:tcPr>
            <w:tcW w:w="1615" w:type="dxa"/>
          </w:tcPr>
          <w:p w:rsidR="00E7662F" w:rsidRPr="00603AAB" w:rsidRDefault="00E7662F" w:rsidP="009740A5">
            <w:pPr>
              <w:spacing w:before="40"/>
              <w:rPr>
                <w:rFonts w:cstheme="minorHAnsi"/>
                <w:sz w:val="20"/>
                <w:szCs w:val="20"/>
              </w:rPr>
            </w:pPr>
            <w:r w:rsidRPr="00603AAB">
              <w:rPr>
                <w:rFonts w:cstheme="minorHAnsi"/>
                <w:sz w:val="20"/>
                <w:szCs w:val="20"/>
              </w:rPr>
              <w:t>Submitted for Peer- review</w:t>
            </w:r>
          </w:p>
        </w:tc>
        <w:tc>
          <w:tcPr>
            <w:tcW w:w="1260" w:type="dxa"/>
          </w:tcPr>
          <w:p w:rsidR="00E7662F" w:rsidRPr="00603AAB" w:rsidRDefault="00E7662F" w:rsidP="009740A5">
            <w:pPr>
              <w:spacing w:before="40"/>
              <w:rPr>
                <w:rFonts w:cstheme="minorHAnsi"/>
                <w:sz w:val="20"/>
                <w:szCs w:val="20"/>
              </w:rPr>
            </w:pPr>
            <w:r w:rsidRPr="00603AAB">
              <w:rPr>
                <w:rFonts w:cstheme="minorHAnsi"/>
                <w:sz w:val="20"/>
                <w:szCs w:val="20"/>
              </w:rPr>
              <w:t>QED</w:t>
            </w:r>
          </w:p>
        </w:tc>
        <w:tc>
          <w:tcPr>
            <w:tcW w:w="1530" w:type="dxa"/>
          </w:tcPr>
          <w:p w:rsidR="00E7662F" w:rsidRPr="00603AAB" w:rsidRDefault="00E7662F" w:rsidP="009740A5">
            <w:pPr>
              <w:spacing w:before="40"/>
              <w:rPr>
                <w:rFonts w:cstheme="minorHAnsi"/>
                <w:sz w:val="20"/>
                <w:szCs w:val="20"/>
              </w:rPr>
            </w:pPr>
            <w:r w:rsidRPr="00603AAB">
              <w:rPr>
                <w:rFonts w:cstheme="minorHAnsi"/>
                <w:sz w:val="20"/>
                <w:szCs w:val="20"/>
              </w:rPr>
              <w:t>TAU</w:t>
            </w:r>
          </w:p>
        </w:tc>
        <w:tc>
          <w:tcPr>
            <w:tcW w:w="3155" w:type="dxa"/>
          </w:tcPr>
          <w:p w:rsidR="00E7662F" w:rsidRPr="00603AAB" w:rsidRDefault="00E7662F" w:rsidP="009740A5">
            <w:pPr>
              <w:spacing w:before="40"/>
              <w:rPr>
                <w:i/>
                <w:iCs/>
                <w:sz w:val="20"/>
                <w:szCs w:val="20"/>
              </w:rPr>
            </w:pPr>
            <w:r w:rsidRPr="00603AAB">
              <w:rPr>
                <w:sz w:val="20"/>
                <w:szCs w:val="20"/>
              </w:rPr>
              <w:t xml:space="preserve">Child Permanency – </w:t>
            </w:r>
            <w:r w:rsidRPr="00603AAB">
              <w:rPr>
                <w:i/>
                <w:iCs/>
                <w:sz w:val="20"/>
                <w:szCs w:val="20"/>
              </w:rPr>
              <w:t>(residential placement)</w:t>
            </w:r>
          </w:p>
          <w:p w:rsidR="00E7662F" w:rsidRPr="00603AAB" w:rsidRDefault="00E7662F" w:rsidP="009740A5">
            <w:pPr>
              <w:spacing w:before="40"/>
              <w:rPr>
                <w:rFonts w:cstheme="minorHAnsi"/>
                <w:sz w:val="20"/>
                <w:szCs w:val="20"/>
              </w:rPr>
            </w:pPr>
            <w:r w:rsidRPr="00603AAB">
              <w:rPr>
                <w:sz w:val="20"/>
                <w:szCs w:val="20"/>
              </w:rPr>
              <w:t xml:space="preserve">Child Well-Being </w:t>
            </w:r>
            <w:r w:rsidRPr="00603AAB">
              <w:rPr>
                <w:rFonts w:cstheme="minorHAnsi"/>
                <w:sz w:val="20"/>
                <w:szCs w:val="20"/>
              </w:rPr>
              <w:t xml:space="preserve">– </w:t>
            </w:r>
            <w:r w:rsidRPr="00603AAB">
              <w:rPr>
                <w:i/>
                <w:iCs/>
                <w:sz w:val="20"/>
                <w:szCs w:val="20"/>
              </w:rPr>
              <w:t>(behavior and emotional functioning, social functioning, educational achievement and attainment)</w:t>
            </w:r>
          </w:p>
        </w:tc>
        <w:tc>
          <w:tcPr>
            <w:tcW w:w="1170" w:type="dxa"/>
          </w:tcPr>
          <w:p w:rsidR="00E7662F" w:rsidRPr="00603AAB" w:rsidRDefault="00E7662F" w:rsidP="009740A5">
            <w:pPr>
              <w:spacing w:before="40"/>
              <w:rPr>
                <w:rFonts w:cstheme="minorHAnsi"/>
                <w:sz w:val="20"/>
                <w:szCs w:val="20"/>
              </w:rPr>
            </w:pPr>
            <w:r w:rsidRPr="00603AAB">
              <w:rPr>
                <w:rFonts w:cstheme="minorHAnsi"/>
                <w:sz w:val="20"/>
                <w:szCs w:val="20"/>
              </w:rPr>
              <w:t>67</w:t>
            </w:r>
          </w:p>
        </w:tc>
        <w:tc>
          <w:tcPr>
            <w:tcW w:w="1512" w:type="dxa"/>
          </w:tcPr>
          <w:p w:rsidR="00E7662F" w:rsidRPr="00603AAB" w:rsidRDefault="00E7662F" w:rsidP="009740A5">
            <w:pPr>
              <w:spacing w:before="40"/>
              <w:rPr>
                <w:rFonts w:cstheme="minorHAnsi"/>
                <w:sz w:val="20"/>
                <w:szCs w:val="20"/>
              </w:rPr>
            </w:pPr>
            <w:r w:rsidRPr="00603AAB">
              <w:rPr>
                <w:rFonts w:cstheme="minorHAnsi"/>
                <w:sz w:val="20"/>
                <w:szCs w:val="20"/>
              </w:rPr>
              <w:t>18 months</w:t>
            </w:r>
          </w:p>
        </w:tc>
      </w:tr>
      <w:tr w:rsidR="00E7662F" w:rsidRPr="00603AAB" w:rsidTr="002177C0">
        <w:tc>
          <w:tcPr>
            <w:tcW w:w="6570" w:type="dxa"/>
          </w:tcPr>
          <w:p w:rsidR="00E7662F" w:rsidRPr="00603AAB" w:rsidRDefault="00E7662F" w:rsidP="00E7662F">
            <w:pPr>
              <w:pStyle w:val="Default"/>
              <w:numPr>
                <w:ilvl w:val="0"/>
                <w:numId w:val="6"/>
              </w:numPr>
              <w:spacing w:before="40"/>
              <w:ind w:left="300" w:right="-105" w:hanging="354"/>
              <w:rPr>
                <w:rFonts w:ascii="Ubuntu Light" w:hAnsi="Ubuntu Light" w:cstheme="minorHAnsi"/>
                <w:b/>
                <w:bCs/>
                <w:sz w:val="20"/>
                <w:szCs w:val="20"/>
              </w:rPr>
            </w:pPr>
            <w:bookmarkStart w:id="1" w:name="_Hlk21957646"/>
            <w:r w:rsidRPr="009740A5">
              <w:rPr>
                <w:rFonts w:ascii="Ubuntu Light" w:hAnsi="Ubuntu Light" w:cstheme="minorHAnsi"/>
                <w:bCs/>
                <w:sz w:val="20"/>
                <w:szCs w:val="20"/>
              </w:rPr>
              <w:t>Rauso</w:t>
            </w:r>
            <w:r w:rsidRPr="009740A5">
              <w:rPr>
                <w:rFonts w:ascii="Ubuntu Light" w:hAnsi="Ubuntu Light" w:cstheme="minorHAnsi"/>
                <w:sz w:val="20"/>
                <w:szCs w:val="20"/>
              </w:rPr>
              <w:t>, M</w:t>
            </w:r>
            <w:r w:rsidRPr="00603AAB">
              <w:rPr>
                <w:rFonts w:ascii="Ubuntu Light" w:hAnsi="Ubuntu Light" w:cstheme="minorHAnsi"/>
                <w:sz w:val="20"/>
                <w:szCs w:val="20"/>
              </w:rPr>
              <w:t>.</w:t>
            </w:r>
            <w:r w:rsidR="009740A5">
              <w:rPr>
                <w:rFonts w:ascii="Ubuntu Light" w:hAnsi="Ubuntu Light" w:cstheme="minorHAnsi"/>
                <w:sz w:val="20"/>
                <w:szCs w:val="20"/>
              </w:rPr>
              <w:t>,</w:t>
            </w:r>
            <w:r w:rsidRPr="00603AAB">
              <w:rPr>
                <w:rFonts w:ascii="Ubuntu Light" w:hAnsi="Ubuntu Light" w:cstheme="minorHAnsi"/>
                <w:sz w:val="20"/>
                <w:szCs w:val="20"/>
              </w:rPr>
              <w:t xml:space="preserve"> Ly, T. M., Lee, M. H., &amp; Jarosz, C. J. (2009). Improving outcomes for foster care youth with complex emotional and behavioral needs: A comparison of outcomes for Wraparound vs. residential care in Los Angeles County. </w:t>
            </w:r>
            <w:r w:rsidRPr="00603AAB">
              <w:rPr>
                <w:rFonts w:ascii="Ubuntu Light" w:hAnsi="Ubuntu Light" w:cstheme="minorHAnsi"/>
                <w:i/>
                <w:iCs/>
                <w:sz w:val="20"/>
                <w:szCs w:val="20"/>
              </w:rPr>
              <w:t xml:space="preserve">Report on Emotional &amp; Behavioral Disorders in Youth, </w:t>
            </w:r>
            <w:r w:rsidRPr="009740A5">
              <w:rPr>
                <w:rFonts w:ascii="Ubuntu Light" w:hAnsi="Ubuntu Light" w:cstheme="minorHAnsi"/>
                <w:i/>
                <w:sz w:val="20"/>
                <w:szCs w:val="20"/>
              </w:rPr>
              <w:t>9</w:t>
            </w:r>
            <w:r w:rsidRPr="00603AAB">
              <w:rPr>
                <w:rFonts w:ascii="Ubuntu Light" w:hAnsi="Ubuntu Light" w:cstheme="minorHAnsi"/>
                <w:sz w:val="20"/>
                <w:szCs w:val="20"/>
              </w:rPr>
              <w:t>, 63-75.</w:t>
            </w:r>
            <w:bookmarkEnd w:id="1"/>
            <w:r w:rsidRPr="00603AAB">
              <w:rPr>
                <w:rFonts w:ascii="Ubuntu Light" w:hAnsi="Ubuntu Light" w:cstheme="minorHAnsi"/>
                <w:sz w:val="20"/>
                <w:szCs w:val="20"/>
              </w:rPr>
              <w:t xml:space="preserve"> </w:t>
            </w:r>
            <w:hyperlink r:id="rId90" w:history="1">
              <w:r w:rsidRPr="009740A5">
                <w:rPr>
                  <w:rStyle w:val="Hyperlink"/>
                  <w:rFonts w:ascii="Ubuntu Light" w:hAnsi="Ubuntu Light"/>
                  <w:color w:val="3E6A80"/>
                  <w:sz w:val="20"/>
                  <w:szCs w:val="20"/>
                </w:rPr>
                <w:t>https://pdfs.semanticscholar.org/d8ae/a1c35995ad0385a33bce6f6cc14bc96bce51.pdf</w:t>
              </w:r>
            </w:hyperlink>
          </w:p>
        </w:tc>
        <w:tc>
          <w:tcPr>
            <w:tcW w:w="1440" w:type="dxa"/>
          </w:tcPr>
          <w:p w:rsidR="00E7662F" w:rsidRPr="00603AAB" w:rsidRDefault="00E7662F" w:rsidP="009740A5">
            <w:pPr>
              <w:spacing w:before="40"/>
              <w:rPr>
                <w:sz w:val="20"/>
                <w:szCs w:val="20"/>
              </w:rPr>
            </w:pPr>
            <w:r w:rsidRPr="00603AAB">
              <w:rPr>
                <w:sz w:val="20"/>
                <w:szCs w:val="20"/>
              </w:rPr>
              <w:t>2009</w:t>
            </w:r>
          </w:p>
        </w:tc>
        <w:tc>
          <w:tcPr>
            <w:tcW w:w="1615" w:type="dxa"/>
          </w:tcPr>
          <w:p w:rsidR="00E7662F" w:rsidRPr="00603AAB" w:rsidRDefault="00E7662F" w:rsidP="009740A5">
            <w:pPr>
              <w:spacing w:before="40"/>
              <w:rPr>
                <w:rFonts w:cstheme="minorHAnsi"/>
                <w:sz w:val="20"/>
                <w:szCs w:val="20"/>
              </w:rPr>
            </w:pPr>
            <w:r w:rsidRPr="00603AAB">
              <w:rPr>
                <w:rFonts w:cstheme="minorHAnsi"/>
                <w:sz w:val="20"/>
                <w:szCs w:val="20"/>
              </w:rPr>
              <w:t>Quarterly report</w:t>
            </w:r>
          </w:p>
        </w:tc>
        <w:tc>
          <w:tcPr>
            <w:tcW w:w="1260" w:type="dxa"/>
          </w:tcPr>
          <w:p w:rsidR="00E7662F" w:rsidRPr="00603AAB" w:rsidRDefault="00E7662F" w:rsidP="009740A5">
            <w:pPr>
              <w:spacing w:before="40"/>
              <w:rPr>
                <w:rFonts w:cstheme="minorHAnsi"/>
                <w:sz w:val="20"/>
                <w:szCs w:val="20"/>
              </w:rPr>
            </w:pPr>
            <w:r w:rsidRPr="00603AAB">
              <w:rPr>
                <w:rFonts w:cstheme="minorHAnsi"/>
                <w:sz w:val="20"/>
                <w:szCs w:val="20"/>
              </w:rPr>
              <w:t>QED</w:t>
            </w:r>
          </w:p>
        </w:tc>
        <w:tc>
          <w:tcPr>
            <w:tcW w:w="1530" w:type="dxa"/>
          </w:tcPr>
          <w:p w:rsidR="00E7662F" w:rsidRPr="00603AAB" w:rsidRDefault="00E7662F" w:rsidP="009740A5">
            <w:pPr>
              <w:spacing w:before="40"/>
              <w:rPr>
                <w:rFonts w:cstheme="minorHAnsi"/>
                <w:sz w:val="20"/>
                <w:szCs w:val="20"/>
              </w:rPr>
            </w:pPr>
            <w:r w:rsidRPr="00603AAB">
              <w:rPr>
                <w:rFonts w:cstheme="minorHAnsi"/>
                <w:sz w:val="20"/>
                <w:szCs w:val="20"/>
              </w:rPr>
              <w:t>Recent discharge from residential care</w:t>
            </w:r>
          </w:p>
        </w:tc>
        <w:tc>
          <w:tcPr>
            <w:tcW w:w="3155" w:type="dxa"/>
          </w:tcPr>
          <w:p w:rsidR="00E7662F" w:rsidRPr="00603AAB" w:rsidRDefault="00E7662F" w:rsidP="009740A5">
            <w:pPr>
              <w:spacing w:before="40"/>
              <w:rPr>
                <w:i/>
                <w:iCs/>
                <w:sz w:val="20"/>
                <w:szCs w:val="20"/>
              </w:rPr>
            </w:pPr>
            <w:r w:rsidRPr="00603AAB">
              <w:rPr>
                <w:sz w:val="20"/>
                <w:szCs w:val="20"/>
              </w:rPr>
              <w:t xml:space="preserve">Child Permanency – </w:t>
            </w:r>
            <w:r w:rsidRPr="00603AAB">
              <w:rPr>
                <w:i/>
                <w:iCs/>
                <w:sz w:val="20"/>
                <w:szCs w:val="20"/>
              </w:rPr>
              <w:t>(residential placement)</w:t>
            </w:r>
          </w:p>
        </w:tc>
        <w:tc>
          <w:tcPr>
            <w:tcW w:w="1170" w:type="dxa"/>
          </w:tcPr>
          <w:p w:rsidR="00E7662F" w:rsidRPr="00603AAB" w:rsidRDefault="00E7662F" w:rsidP="009740A5">
            <w:pPr>
              <w:spacing w:before="40"/>
              <w:rPr>
                <w:rFonts w:cstheme="minorHAnsi"/>
                <w:sz w:val="20"/>
                <w:szCs w:val="20"/>
              </w:rPr>
            </w:pPr>
            <w:r w:rsidRPr="00603AAB">
              <w:rPr>
                <w:rFonts w:cstheme="minorHAnsi"/>
                <w:sz w:val="20"/>
                <w:szCs w:val="20"/>
              </w:rPr>
              <w:t>312</w:t>
            </w:r>
          </w:p>
        </w:tc>
        <w:tc>
          <w:tcPr>
            <w:tcW w:w="1512" w:type="dxa"/>
          </w:tcPr>
          <w:p w:rsidR="00E7662F" w:rsidRPr="00603AAB" w:rsidRDefault="00E7662F" w:rsidP="009740A5">
            <w:pPr>
              <w:spacing w:before="40"/>
              <w:rPr>
                <w:rFonts w:cstheme="minorHAnsi"/>
                <w:sz w:val="20"/>
                <w:szCs w:val="20"/>
              </w:rPr>
            </w:pPr>
            <w:r w:rsidRPr="00603AAB">
              <w:rPr>
                <w:rFonts w:cstheme="minorHAnsi"/>
                <w:sz w:val="20"/>
                <w:szCs w:val="20"/>
              </w:rPr>
              <w:t>12 months</w:t>
            </w:r>
          </w:p>
        </w:tc>
      </w:tr>
      <w:tr w:rsidR="00E7662F" w:rsidRPr="00603AAB" w:rsidTr="002177C0">
        <w:tc>
          <w:tcPr>
            <w:tcW w:w="6570" w:type="dxa"/>
          </w:tcPr>
          <w:p w:rsidR="00E7662F" w:rsidRPr="00603AAB" w:rsidRDefault="00E7662F" w:rsidP="009740A5">
            <w:pPr>
              <w:pStyle w:val="Default"/>
              <w:numPr>
                <w:ilvl w:val="0"/>
                <w:numId w:val="6"/>
              </w:numPr>
              <w:spacing w:before="40"/>
              <w:ind w:left="300" w:right="-105" w:hanging="354"/>
              <w:rPr>
                <w:rFonts w:ascii="Ubuntu Light" w:hAnsi="Ubuntu Light" w:cstheme="minorHAnsi"/>
                <w:sz w:val="20"/>
                <w:szCs w:val="20"/>
              </w:rPr>
            </w:pPr>
            <w:r w:rsidRPr="009740A5">
              <w:rPr>
                <w:rFonts w:ascii="Ubuntu Light" w:hAnsi="Ubuntu Light" w:cstheme="minorHAnsi"/>
                <w:bCs/>
                <w:sz w:val="20"/>
                <w:szCs w:val="20"/>
              </w:rPr>
              <w:t>Schneider-Munoz</w:t>
            </w:r>
            <w:r w:rsidRPr="009740A5">
              <w:rPr>
                <w:rFonts w:ascii="Ubuntu Light" w:hAnsi="Ubuntu Light" w:cstheme="minorHAnsi"/>
                <w:sz w:val="20"/>
                <w:szCs w:val="20"/>
              </w:rPr>
              <w:t xml:space="preserve">, </w:t>
            </w:r>
            <w:r w:rsidRPr="00603AAB">
              <w:rPr>
                <w:rFonts w:ascii="Ubuntu Light" w:hAnsi="Ubuntu Light" w:cstheme="minorHAnsi"/>
                <w:sz w:val="20"/>
                <w:szCs w:val="20"/>
              </w:rPr>
              <w:t>A. J., Renteria, R. A. M., Gelwicks, J.,</w:t>
            </w:r>
            <w:r w:rsidR="009740A5">
              <w:rPr>
                <w:rFonts w:ascii="Ubuntu Light" w:hAnsi="Ubuntu Light" w:cstheme="minorHAnsi"/>
                <w:sz w:val="20"/>
                <w:szCs w:val="20"/>
              </w:rPr>
              <w:t xml:space="preserve"> &amp;</w:t>
            </w:r>
            <w:r w:rsidRPr="00603AAB">
              <w:rPr>
                <w:rFonts w:ascii="Ubuntu Light" w:hAnsi="Ubuntu Light" w:cstheme="minorHAnsi"/>
                <w:sz w:val="20"/>
                <w:szCs w:val="20"/>
              </w:rPr>
              <w:t xml:space="preserve"> Fasano, M. E. (2015)</w:t>
            </w:r>
            <w:r w:rsidR="009740A5">
              <w:rPr>
                <w:rFonts w:ascii="Ubuntu Light" w:hAnsi="Ubuntu Light" w:cstheme="minorHAnsi"/>
                <w:sz w:val="20"/>
                <w:szCs w:val="20"/>
              </w:rPr>
              <w:t>.</w:t>
            </w:r>
            <w:r w:rsidRPr="00603AAB">
              <w:rPr>
                <w:rFonts w:ascii="Ubuntu Light" w:hAnsi="Ubuntu Light" w:cstheme="minorHAnsi"/>
                <w:sz w:val="20"/>
                <w:szCs w:val="20"/>
              </w:rPr>
              <w:t xml:space="preserve"> Reducing </w:t>
            </w:r>
            <w:r w:rsidR="009740A5">
              <w:rPr>
                <w:rFonts w:ascii="Ubuntu Light" w:hAnsi="Ubuntu Light" w:cstheme="minorHAnsi"/>
                <w:sz w:val="20"/>
                <w:szCs w:val="20"/>
              </w:rPr>
              <w:t>r</w:t>
            </w:r>
            <w:r w:rsidRPr="00603AAB">
              <w:rPr>
                <w:rFonts w:ascii="Ubuntu Light" w:hAnsi="Ubuntu Light" w:cstheme="minorHAnsi"/>
                <w:sz w:val="20"/>
                <w:szCs w:val="20"/>
              </w:rPr>
              <w:t xml:space="preserve">isk: Families in Wraparound </w:t>
            </w:r>
            <w:r w:rsidR="009740A5">
              <w:rPr>
                <w:rFonts w:ascii="Ubuntu Light" w:hAnsi="Ubuntu Light" w:cstheme="minorHAnsi"/>
                <w:sz w:val="20"/>
                <w:szCs w:val="20"/>
              </w:rPr>
              <w:t>i</w:t>
            </w:r>
            <w:r w:rsidRPr="00603AAB">
              <w:rPr>
                <w:rFonts w:ascii="Ubuntu Light" w:hAnsi="Ubuntu Light" w:cstheme="minorHAnsi"/>
                <w:sz w:val="20"/>
                <w:szCs w:val="20"/>
              </w:rPr>
              <w:t xml:space="preserve">ntervention. </w:t>
            </w:r>
            <w:r w:rsidRPr="009740A5">
              <w:rPr>
                <w:rFonts w:ascii="Ubuntu Light" w:hAnsi="Ubuntu Light" w:cstheme="minorHAnsi"/>
                <w:i/>
                <w:sz w:val="20"/>
                <w:szCs w:val="20"/>
              </w:rPr>
              <w:t xml:space="preserve">Families in Society: </w:t>
            </w:r>
            <w:r w:rsidRPr="00603AAB">
              <w:rPr>
                <w:rFonts w:ascii="Ubuntu Light" w:hAnsi="Ubuntu Light" w:cstheme="minorHAnsi"/>
                <w:i/>
                <w:iCs/>
                <w:sz w:val="20"/>
                <w:szCs w:val="20"/>
              </w:rPr>
              <w:t>The Journal of Contemporary Social Services</w:t>
            </w:r>
            <w:r w:rsidR="009740A5" w:rsidRPr="009740A5">
              <w:rPr>
                <w:rFonts w:ascii="Ubuntu Light" w:hAnsi="Ubuntu Light" w:cstheme="minorHAnsi"/>
                <w:iCs/>
                <w:sz w:val="20"/>
                <w:szCs w:val="20"/>
              </w:rPr>
              <w:t>,</w:t>
            </w:r>
            <w:r w:rsidRPr="009740A5">
              <w:rPr>
                <w:rFonts w:ascii="Ubuntu Light" w:hAnsi="Ubuntu Light" w:cstheme="minorHAnsi"/>
                <w:iCs/>
                <w:sz w:val="20"/>
                <w:szCs w:val="20"/>
              </w:rPr>
              <w:t xml:space="preserve"> </w:t>
            </w:r>
            <w:r w:rsidRPr="009740A5">
              <w:rPr>
                <w:rFonts w:ascii="Ubuntu Light" w:hAnsi="Ubuntu Light" w:cstheme="minorHAnsi"/>
                <w:i/>
                <w:sz w:val="20"/>
                <w:szCs w:val="20"/>
              </w:rPr>
              <w:t>96</w:t>
            </w:r>
            <w:r w:rsidRPr="00603AAB">
              <w:rPr>
                <w:rFonts w:ascii="Ubuntu Light" w:hAnsi="Ubuntu Light" w:cstheme="minorHAnsi"/>
                <w:sz w:val="20"/>
                <w:szCs w:val="20"/>
              </w:rPr>
              <w:t xml:space="preserve">(2) 91-98. </w:t>
            </w:r>
            <w:hyperlink r:id="rId91" w:history="1">
              <w:r w:rsidRPr="00603AAB">
                <w:rPr>
                  <w:rStyle w:val="Hyperlink"/>
                  <w:rFonts w:ascii="Ubuntu Light" w:hAnsi="Ubuntu Light"/>
                  <w:color w:val="3E6A80"/>
                  <w:sz w:val="20"/>
                  <w:szCs w:val="20"/>
                </w:rPr>
                <w:t>https://journals.sagepub.com/doi/pdf/10.1606/1044-3894.2015.96.18</w:t>
              </w:r>
            </w:hyperlink>
          </w:p>
        </w:tc>
        <w:tc>
          <w:tcPr>
            <w:tcW w:w="1440" w:type="dxa"/>
          </w:tcPr>
          <w:p w:rsidR="00E7662F" w:rsidRPr="00603AAB" w:rsidRDefault="00E7662F" w:rsidP="009740A5">
            <w:pPr>
              <w:spacing w:before="40"/>
              <w:rPr>
                <w:sz w:val="20"/>
                <w:szCs w:val="20"/>
              </w:rPr>
            </w:pPr>
            <w:r w:rsidRPr="00603AAB">
              <w:rPr>
                <w:sz w:val="20"/>
                <w:szCs w:val="20"/>
              </w:rPr>
              <w:t>2015</w:t>
            </w:r>
          </w:p>
        </w:tc>
        <w:tc>
          <w:tcPr>
            <w:tcW w:w="1615" w:type="dxa"/>
          </w:tcPr>
          <w:p w:rsidR="00E7662F" w:rsidRPr="00603AAB" w:rsidRDefault="00E7662F" w:rsidP="009740A5">
            <w:pPr>
              <w:spacing w:before="40"/>
              <w:rPr>
                <w:sz w:val="20"/>
                <w:szCs w:val="20"/>
              </w:rPr>
            </w:pPr>
            <w:r w:rsidRPr="00603AAB">
              <w:rPr>
                <w:sz w:val="20"/>
                <w:szCs w:val="20"/>
              </w:rPr>
              <w:t>Peer-reviewed journal</w:t>
            </w:r>
          </w:p>
        </w:tc>
        <w:tc>
          <w:tcPr>
            <w:tcW w:w="1260" w:type="dxa"/>
          </w:tcPr>
          <w:p w:rsidR="00E7662F" w:rsidRPr="00603AAB" w:rsidRDefault="00E7662F" w:rsidP="009740A5">
            <w:pPr>
              <w:spacing w:before="40"/>
              <w:rPr>
                <w:sz w:val="20"/>
                <w:szCs w:val="20"/>
              </w:rPr>
            </w:pPr>
            <w:r w:rsidRPr="00603AAB">
              <w:rPr>
                <w:sz w:val="20"/>
                <w:szCs w:val="20"/>
              </w:rPr>
              <w:t>QED</w:t>
            </w:r>
          </w:p>
        </w:tc>
        <w:tc>
          <w:tcPr>
            <w:tcW w:w="1530" w:type="dxa"/>
          </w:tcPr>
          <w:p w:rsidR="00E7662F" w:rsidRPr="00603AAB" w:rsidRDefault="00E7662F" w:rsidP="009740A5">
            <w:pPr>
              <w:spacing w:before="40"/>
              <w:rPr>
                <w:sz w:val="20"/>
                <w:szCs w:val="20"/>
              </w:rPr>
            </w:pPr>
            <w:r w:rsidRPr="00603AAB">
              <w:rPr>
                <w:sz w:val="20"/>
                <w:szCs w:val="20"/>
              </w:rPr>
              <w:t>TAU</w:t>
            </w:r>
          </w:p>
        </w:tc>
        <w:tc>
          <w:tcPr>
            <w:tcW w:w="3155" w:type="dxa"/>
          </w:tcPr>
          <w:p w:rsidR="00E7662F" w:rsidRPr="00603AAB" w:rsidRDefault="00E7662F" w:rsidP="009740A5">
            <w:pPr>
              <w:spacing w:before="40"/>
              <w:rPr>
                <w:sz w:val="20"/>
                <w:szCs w:val="20"/>
              </w:rPr>
            </w:pPr>
            <w:r w:rsidRPr="00603AAB">
              <w:rPr>
                <w:sz w:val="20"/>
                <w:szCs w:val="20"/>
              </w:rPr>
              <w:t xml:space="preserve">Child Safety </w:t>
            </w:r>
            <w:r w:rsidRPr="00603AAB">
              <w:rPr>
                <w:rFonts w:cstheme="minorHAnsi"/>
                <w:sz w:val="20"/>
                <w:szCs w:val="20"/>
              </w:rPr>
              <w:t xml:space="preserve">– </w:t>
            </w:r>
            <w:r w:rsidRPr="00603AAB">
              <w:rPr>
                <w:i/>
                <w:iCs/>
                <w:sz w:val="20"/>
                <w:szCs w:val="20"/>
              </w:rPr>
              <w:t>(child maltreatment)</w:t>
            </w:r>
          </w:p>
        </w:tc>
        <w:tc>
          <w:tcPr>
            <w:tcW w:w="1170" w:type="dxa"/>
          </w:tcPr>
          <w:p w:rsidR="00E7662F" w:rsidRPr="00603AAB" w:rsidRDefault="00E7662F" w:rsidP="009740A5">
            <w:pPr>
              <w:spacing w:before="40"/>
              <w:rPr>
                <w:sz w:val="20"/>
                <w:szCs w:val="20"/>
              </w:rPr>
            </w:pPr>
            <w:r w:rsidRPr="00603AAB">
              <w:rPr>
                <w:sz w:val="20"/>
                <w:szCs w:val="20"/>
              </w:rPr>
              <w:t>308</w:t>
            </w:r>
          </w:p>
        </w:tc>
        <w:tc>
          <w:tcPr>
            <w:tcW w:w="1512" w:type="dxa"/>
          </w:tcPr>
          <w:p w:rsidR="00E7662F" w:rsidRPr="00603AAB" w:rsidRDefault="00E7662F" w:rsidP="009740A5">
            <w:pPr>
              <w:spacing w:before="40"/>
              <w:rPr>
                <w:sz w:val="20"/>
                <w:szCs w:val="20"/>
              </w:rPr>
            </w:pPr>
            <w:r w:rsidRPr="00603AAB">
              <w:rPr>
                <w:sz w:val="20"/>
                <w:szCs w:val="20"/>
              </w:rPr>
              <w:t xml:space="preserve">6 months </w:t>
            </w:r>
          </w:p>
        </w:tc>
      </w:tr>
    </w:tbl>
    <w:p w:rsidR="00E7662F" w:rsidRPr="00E7662F" w:rsidRDefault="007B7991" w:rsidP="00E7662F">
      <w:pPr>
        <w:rPr>
          <w:sz w:val="2"/>
          <w:szCs w:val="2"/>
        </w:rPr>
      </w:pPr>
      <w:r>
        <w:rPr>
          <w:noProof/>
          <w:sz w:val="2"/>
          <w:szCs w:val="2"/>
          <w:lang w:bidi="ar-SA"/>
        </w:rPr>
        <w:pict>
          <v:shape id="_x0000_s1086" type="#_x0000_t202" style="position:absolute;margin-left:14.7pt;margin-top:10.75pt;width:789.35pt;height:28.3pt;z-index:503291464;visibility:visible;mso-wrap-distance-left:9pt;mso-wrap-distance-top:3.6pt;mso-wrap-distance-right:9pt;mso-wrap-distance-bottom:3.6pt;mso-position-horizontal-relative:text;mso-position-vertical-relative:text;mso-width-relative:margin;mso-height-relative:margin;v-text-anchor:top" filled="f" stroked="f" strokeweight="0">
            <v:textbox style="mso-next-textbox:#_x0000_s1086">
              <w:txbxContent>
                <w:p w:rsidR="00BE3034" w:rsidRPr="00603AAB" w:rsidRDefault="00BE3034" w:rsidP="00BE3034">
                  <w:pPr>
                    <w:ind w:left="-450"/>
                    <w:rPr>
                      <w:sz w:val="20"/>
                      <w:szCs w:val="20"/>
                    </w:rPr>
                  </w:pPr>
                  <w:r>
                    <w:rPr>
                      <w:sz w:val="20"/>
                      <w:szCs w:val="20"/>
                    </w:rPr>
                    <w:t xml:space="preserve">         </w:t>
                  </w:r>
                  <w:r w:rsidRPr="00603AAB">
                    <w:rPr>
                      <w:sz w:val="20"/>
                      <w:szCs w:val="20"/>
                    </w:rPr>
                    <w:t>NOTES:  RCT = Random Control Trial</w:t>
                  </w:r>
                  <w:r>
                    <w:rPr>
                      <w:sz w:val="20"/>
                      <w:szCs w:val="20"/>
                    </w:rPr>
                    <w:t xml:space="preserve">; </w:t>
                  </w:r>
                  <w:r w:rsidRPr="00603AAB">
                    <w:rPr>
                      <w:sz w:val="20"/>
                      <w:szCs w:val="20"/>
                    </w:rPr>
                    <w:t>QED = Quasi-Experimental Design</w:t>
                  </w:r>
                  <w:r>
                    <w:rPr>
                      <w:sz w:val="20"/>
                      <w:szCs w:val="20"/>
                    </w:rPr>
                    <w:t xml:space="preserve">; </w:t>
                  </w:r>
                  <w:r w:rsidRPr="00603AAB">
                    <w:rPr>
                      <w:sz w:val="20"/>
                      <w:szCs w:val="20"/>
                    </w:rPr>
                    <w:t>TAU = Treatment as Usual</w:t>
                  </w:r>
                </w:p>
                <w:p w:rsidR="00BE3034" w:rsidRDefault="00BE3034" w:rsidP="00BE3034"/>
              </w:txbxContent>
            </v:textbox>
            <w10:wrap type="square"/>
          </v:shape>
        </w:pict>
      </w:r>
    </w:p>
    <w:p w:rsidR="007E59EF" w:rsidRPr="00E7662F" w:rsidRDefault="007E59EF" w:rsidP="00E7662F">
      <w:pPr>
        <w:rPr>
          <w:sz w:val="2"/>
          <w:szCs w:val="2"/>
        </w:rPr>
        <w:sectPr w:rsidR="007E59EF" w:rsidRPr="00E7662F" w:rsidSect="00E7662F">
          <w:pgSz w:w="20160" w:h="12240" w:orient="landscape" w:code="5"/>
          <w:pgMar w:top="720" w:right="720" w:bottom="720" w:left="720" w:header="288" w:footer="288" w:gutter="0"/>
          <w:cols w:space="720"/>
          <w:docGrid w:linePitch="299"/>
        </w:sectPr>
      </w:pPr>
    </w:p>
    <w:p w:rsidR="007E59EF" w:rsidRDefault="007B7991">
      <w:pPr>
        <w:pStyle w:val="Heading1"/>
      </w:pPr>
      <w:r>
        <w:lastRenderedPageBreak/>
        <w:pict>
          <v:group id="_x0000_s1050" style="position:absolute;left:0;text-align:left;margin-left:0;margin-top:0;width:612pt;height:11in;z-index:-27064;mso-position-horizontal-relative:page;mso-position-vertical-relative:page" coordsize="12240,15840">
            <v:rect id="_x0000_s1052" style="position:absolute;top:14980;width:12240;height:860" fillcolor="#fada51" stroked="f"/>
            <v:shape id="_x0000_s1051" type="#_x0000_t75" style="position:absolute;left:7848;width:4392;height:14980">
              <v:imagedata r:id="rId92" o:title=""/>
            </v:shape>
            <w10:wrap anchorx="page" anchory="page"/>
          </v:group>
        </w:pict>
      </w:r>
      <w:r w:rsidR="009740A5">
        <w:rPr>
          <w:color w:val="517489"/>
        </w:rPr>
        <w:t>Prepared By</w:t>
      </w:r>
    </w:p>
    <w:p w:rsidR="007E59EF" w:rsidRDefault="009740A5">
      <w:pPr>
        <w:pStyle w:val="BodyText"/>
        <w:spacing w:before="175" w:line="314" w:lineRule="auto"/>
        <w:ind w:left="1065" w:right="5034"/>
      </w:pPr>
      <w:r>
        <w:rPr>
          <w:color w:val="414042"/>
        </w:rPr>
        <w:t>Prepared by staff from the National Wraparound Initiative, Portland State University; the National Wraparound Implementation Center, University of Maryland; and Wraparound Evaluation and Research Team, University of Washington.</w:t>
      </w:r>
    </w:p>
    <w:p w:rsidR="007E59EF" w:rsidRDefault="007E59EF">
      <w:pPr>
        <w:pStyle w:val="BodyText"/>
      </w:pPr>
    </w:p>
    <w:p w:rsidR="007E59EF" w:rsidRDefault="007E59EF">
      <w:pPr>
        <w:pStyle w:val="BodyText"/>
      </w:pPr>
    </w:p>
    <w:p w:rsidR="007E59EF" w:rsidRDefault="007B7991">
      <w:pPr>
        <w:pStyle w:val="BodyText"/>
        <w:spacing w:before="5"/>
        <w:rPr>
          <w:sz w:val="27"/>
        </w:rPr>
      </w:pPr>
      <w:r>
        <w:pict>
          <v:group id="_x0000_s1045" style="position:absolute;margin-left:56.25pt;margin-top:17.75pt;width:43.1pt;height:42.3pt;z-index:1528;mso-wrap-distance-left:0;mso-wrap-distance-right:0;mso-position-horizontal-relative:page" coordorigin="1125,355" coordsize="862,846">
            <v:shape id="_x0000_s1049" style="position:absolute;left:1124;top:750;width:834;height:451" coordorigin="1125,750" coordsize="834,451" o:spt="100" adj="0,,0" path="m1555,1200r-77,-6l1405,1174r-67,-31l1278,1101r-52,-51l1183,991r-31,-66l1132,854r-7,-76l1125,766r,-7l1126,750r66,l1210,754r12,13l1229,790r2,34l1231,927r727,l1926,992r-42,59l1832,1101r-60,42l1705,1174r-73,20l1555,1200xm1428,927r-131,l1297,804r1,-22l1301,766r8,-10l1324,753r14,4l1346,767r2,15l1349,804r,35l1352,871r10,28l1386,919r42,8xm1788,927r-118,l1700,926r16,-5l1724,906r5,-27l1731,886r8,17l1757,919r31,8xm1670,927r-117,l1582,926r16,-5l1606,907r5,-28l1613,887r8,16l1639,919r31,8xm1553,927r-125,l1461,926r18,-5l1488,907r6,-26l1496,888r9,16l1523,919r30,8xm1919,927r-131,l1819,926r16,-5l1843,908r5,-26l1850,889r10,15l1881,920r38,7xe" fillcolor="#69aec0" stroked="f">
              <v:stroke joinstyle="round"/>
              <v:formulas/>
              <v:path arrowok="t" o:connecttype="segments"/>
            </v:shape>
            <v:shape id="_x0000_s1048" style="position:absolute;left:1134;top:355;width:852;height:507" coordorigin="1135,355" coordsize="852,507" o:spt="100" adj="0,,0" path="m1977,861r-62,l1898,857r-11,-11l1881,830r-2,-20l1879,688r-744,l1156,619r33,-63l1232,499r51,-49l1343,410r65,-30l1480,362r75,-7l1633,362r72,20l1773,413r60,42l1885,505r29,41l1848,546r-22,4l1809,562r-12,17l1793,600r4,20l1809,637r17,12l1848,653r117,l1979,702r7,76l1985,799r-1,21l1981,841r-4,20xm1965,653r-117,l1869,649r17,-12l1898,620r4,-20l1898,579r-12,-17l1869,550r-21,-4l1914,546r13,18l1959,630r6,23xm1265,739r-3,-8l1254,713r-20,-17l1199,688r133,l1294,688r-19,6l1267,709r-2,30xm1435,861r-17,-4l1418,857r-7,-11l1411,846r-3,-16l1408,778r-3,-38l1394,712r-24,-18l1332,688r128,l1460,830r-3,16l1450,857r-15,4xm1553,861r-16,-4l1529,846r-3,-16l1526,820r,-132l1578,688r-1,142l1575,846r-7,11l1568,857r-15,4xm1670,861r-15,-4l1647,846r,l1644,829r,-19l1644,688r51,l1695,820r,10l1692,846r,l1685,857r,l1670,861xm1788,861r-15,-4l1772,857r-7,-11l1765,846r-3,-16l1762,820r,-132l1813,688r,132l1813,830r-3,16l1810,846r-7,11l1803,857r-15,4xe" fillcolor="#f99b1e" stroked="f">
              <v:stroke joinstyle="round"/>
              <v:formulas/>
              <v:path arrowok="t" o:connecttype="segments"/>
            </v:shape>
            <v:shape id="_x0000_s1047" style="position:absolute;left:1125;top:687;width:852;height:239" coordorigin="1126,688" coordsize="852,239" o:spt="100" adj="0,,0" path="m1297,927r-66,l1231,824r-2,-34l1222,767r-12,-13l1192,750r-66,l1127,734r2,-15l1132,703r3,-15l1199,688r34,l1251,694r8,15l1265,739r140,l1405,740r1,13l1324,753r-15,3l1301,766r-3,16l1297,804r,123xm1405,739r-140,l1266,731r8,-18l1294,696r38,-8l1370,694r24,18l1405,739xm1553,861r-118,l1450,857r7,-11l1460,830r,-142l1526,688r,122l1526,824r,6l1529,846r8,11l1553,861xm1670,861r-117,l1568,857r,l1575,846r2,-16l1578,688r66,l1644,810r,14l1644,830r3,16l1647,846r8,11l1670,861xm1788,861r-118,l1685,857r,l1692,846r,l1695,830r,-6l1695,810r,-122l1762,688r,122l1762,824r,6l1765,846r,l1772,857r1,l1788,861xm1915,861r-127,l1803,857r,l1810,846r,l1813,830r,-6l1813,688r66,l1879,810r2,20l1887,846r11,11l1915,861xm1428,927r-42,-8l1362,899r-10,-28l1349,839r,-35l1349,782r-3,-15l1338,757r-14,-4l1406,753r2,25l1408,830r3,16l1411,846r7,11l1418,857r17,4l1977,861r-3,17l1973,879r-244,l1729,879r-118,l1611,881r-117,l1491,888r-9,16l1462,919r-34,8xm1788,927r-30,-1l1742,921r-8,-15l1729,879r244,l1973,882r-125,l1846,889r-8,15l1820,920r-32,7xm1670,927r-30,-1l1624,921r-7,-14l1611,879r118,l1727,886r-8,17l1701,919r-31,8xm1553,927r-29,-1l1509,921r-9,-14l1494,881r117,l1609,887r-8,16l1583,919r-30,8xm1958,927r-39,l1882,926r-19,-5l1854,908r-6,-26l1973,882r-4,12l1964,911r-6,16xe" stroked="f">
              <v:stroke joinstyle="round"/>
              <v:formulas/>
              <v:path arrowok="t" o:connecttype="segments"/>
            </v:shape>
            <v:shape id="_x0000_s1046" type="#_x0000_t75" style="position:absolute;left:1793;top:546;width:110;height:108">
              <v:imagedata r:id="rId93" o:title=""/>
            </v:shape>
            <w10:wrap type="topAndBottom" anchorx="page"/>
          </v:group>
        </w:pict>
      </w:r>
      <w:r w:rsidR="009740A5">
        <w:rPr>
          <w:noProof/>
          <w:lang w:bidi="ar-SA"/>
        </w:rPr>
        <w:drawing>
          <wp:anchor distT="0" distB="0" distL="0" distR="0" simplePos="0" relativeHeight="1552" behindDoc="0" locked="0" layoutInCell="1" allowOverlap="1">
            <wp:simplePos x="0" y="0"/>
            <wp:positionH relativeFrom="page">
              <wp:posOffset>1329751</wp:posOffset>
            </wp:positionH>
            <wp:positionV relativeFrom="paragraph">
              <wp:posOffset>335843</wp:posOffset>
            </wp:positionV>
            <wp:extent cx="643486" cy="314325"/>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94" cstate="print"/>
                    <a:stretch>
                      <a:fillRect/>
                    </a:stretch>
                  </pic:blipFill>
                  <pic:spPr>
                    <a:xfrm>
                      <a:off x="0" y="0"/>
                      <a:ext cx="643486" cy="314325"/>
                    </a:xfrm>
                    <a:prstGeom prst="rect">
                      <a:avLst/>
                    </a:prstGeom>
                  </pic:spPr>
                </pic:pic>
              </a:graphicData>
            </a:graphic>
          </wp:anchor>
        </w:drawing>
      </w:r>
      <w:r>
        <w:pict>
          <v:shape id="_x0000_s1044" style="position:absolute;margin-left:204.4pt;margin-top:24.55pt;width:26.5pt;height:27.5pt;z-index:1576;mso-wrap-distance-left:0;mso-wrap-distance-right:0;mso-position-horizontal-relative:page;mso-position-vertical-relative:text" coordorigin="4088,491" coordsize="530,550" o:spt="100" adj="0,,0" path="m4352,1040r-42,-8l4274,1008r-23,-36l4242,929r,-41l4199,888r-43,-8l4121,856r-24,-36l4088,777r9,-44l4121,698r35,-24l4199,665r43,l4242,603r9,-43l4274,524r36,-24l4352,491r43,9l4430,524r7,10l4352,534r-26,5l4304,554r-15,22l4284,603r,105l4198,708r-26,5l4150,728r-14,22l4130,777r6,27l4150,826r22,14l4198,846r189,l4387,886r-103,l4284,929r5,27l4304,978r22,15l4352,998r85,l4430,1008r-35,24l4352,1040xm4537,671r-185,l4379,666r22,-15l4416,629r6,-27l4416,575r-15,-21l4379,539r-27,-5l4437,534r17,26l4463,603r,62l4507,665r30,6xm4343,763r-59,l4318,735r,-132l4320,589r8,-11l4339,571r13,-3l4366,570r12,8l4385,589r3,13l4385,616r-7,11l4366,634r-14,3l4344,637r,34l4537,671r13,3l4585,698r7,10l4441,708r-11,l4419,711r-10,4l4391,723r-12,10l4378,734r-35,29xm4198,812r-13,-3l4174,802r-8,-12l4164,777r2,-14l4174,752r11,-8l4198,741r46,l4244,708r40,l4284,763r59,l4302,796r-9,7l4284,809r-8,3l4268,812r-70,xm4592,846r-85,l4534,840r21,-14l4570,804r5,-27l4570,750r-15,-22l4534,713r-27,-5l4592,708r17,25l4617,777r-8,43l4592,846xm4387,846r-117,l4280,845r10,-3l4299,838r14,-8l4320,825r3,-2l4403,757r8,-5l4413,750r11,-6l4432,741r75,l4521,744r11,8l4539,763r3,14l4539,790r,1l4421,791r-34,27l4387,846xm4437,998r-85,l4379,993r22,-15l4415,956r6,-27l4421,791r118,l4532,802r-11,7l4507,812r-45,l4462,846r130,l4585,856r-35,24l4507,888r-44,l4463,929r-9,43l4437,998xm4352,964r-13,-3l4328,954r-8,-11l4318,929r,-43l4387,886r,43l4384,943r-7,11l4366,961r-14,3xe" fillcolor="#7c8620" stroked="f">
            <v:stroke joinstyle="round"/>
            <v:formulas/>
            <v:path arrowok="t" o:connecttype="segments"/>
            <w10:wrap type="topAndBottom" anchorx="page"/>
          </v:shape>
        </w:pict>
      </w:r>
      <w:r w:rsidR="009740A5">
        <w:rPr>
          <w:noProof/>
          <w:lang w:bidi="ar-SA"/>
        </w:rPr>
        <w:drawing>
          <wp:anchor distT="0" distB="0" distL="0" distR="0" simplePos="0" relativeHeight="1600" behindDoc="0" locked="0" layoutInCell="1" allowOverlap="1">
            <wp:simplePos x="0" y="0"/>
            <wp:positionH relativeFrom="page">
              <wp:posOffset>3017780</wp:posOffset>
            </wp:positionH>
            <wp:positionV relativeFrom="paragraph">
              <wp:posOffset>369858</wp:posOffset>
            </wp:positionV>
            <wp:extent cx="1312326" cy="26670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95" cstate="print"/>
                    <a:stretch>
                      <a:fillRect/>
                    </a:stretch>
                  </pic:blipFill>
                  <pic:spPr>
                    <a:xfrm>
                      <a:off x="0" y="0"/>
                      <a:ext cx="1312326" cy="266700"/>
                    </a:xfrm>
                    <a:prstGeom prst="rect">
                      <a:avLst/>
                    </a:prstGeom>
                  </pic:spPr>
                </pic:pic>
              </a:graphicData>
            </a:graphic>
          </wp:anchor>
        </w:drawing>
      </w:r>
      <w:r>
        <w:pict>
          <v:line id="_x0000_s1043" style="position:absolute;z-index:1624;mso-wrap-distance-left:0;mso-wrap-distance-right:0;mso-position-horizontal-relative:page;mso-position-vertical-relative:text" from="134.3pt,72.45pt" to="265.15pt,72.45pt" strokecolor="#8dbfd0" strokeweight="1pt">
            <w10:wrap type="topAndBottom" anchorx="page"/>
          </v:line>
        </w:pict>
      </w:r>
      <w:r>
        <w:pict>
          <v:group id="_x0000_s1034" style="position:absolute;margin-left:64.55pt;margin-top:92.9pt;width:78.8pt;height:36.55pt;z-index:1648;mso-wrap-distance-left:0;mso-wrap-distance-right:0;mso-position-horizontal-relative:page;mso-position-vertical-relative:text" coordorigin="1291,1858" coordsize="1576,731">
            <v:shape id="_x0000_s1042" style="position:absolute;left:1530;top:1951;width:943;height:568" coordorigin="1531,1952" coordsize="943,568" o:spt="100" adj="0,,0" path="m1809,2055r12,-11l1838,2030r17,-13l1870,2007r59,-27l1991,1962r63,-9l2118,1952r51,4l2218,1965r47,14l2297,1992r-228,l1995,1993r-56,9l1892,2015r-42,18l1809,2055xm2201,2485r-241,l2029,2479r67,-12l2148,2452r49,-18l2242,2411r40,-25l2317,2359r29,-30l2370,2297r16,-33l2397,2219r-4,-46l2373,2127r-38,-44l2286,2049r-65,-27l2147,2002r-78,-10l2297,1992r12,5l2349,2018r36,25l2416,2072r24,31l2465,2154r9,51l2467,2256r-20,49l2415,2351r-43,42l2319,2431r-62,32l2201,2485xm1949,2519r-85,-9l1786,2493r-70,-26l1655,2434r-51,-38l1581,2373r-20,-25l1544,2323r-13,-27l1539,2309r9,13l1558,2335r11,12l1603,2378r39,28l1688,2430r52,21l1814,2471r73,11l1960,2485r241,l2188,2489r-75,19l2033,2518r-84,1xe" fillcolor="#f15a2b" stroked="f">
              <v:stroke joinstyle="round"/>
              <v:formulas/>
              <v:path arrowok="t" o:connecttype="segments"/>
            </v:shape>
            <v:shape id="_x0000_s1041" style="position:absolute;left:1521;top:1858;width:832;height:602" coordorigin="1521,1858" coordsize="832,602" o:spt="100" adj="0,,0" path="m1959,2460r-56,l1821,2451r-74,-17l1683,2408r-54,-33l1585,2336r-33,-43l1531,2247r-10,-49l1525,2148r17,-51l1573,2048r45,-47l1678,1957r67,-36l1818,1893r78,-20l1977,1862r44,-3l2064,1858r44,2l2132,1863r-48,l2061,1864r-60,5l1941,1879r-58,14l1827,1913r-84,42l1679,2002r-45,51l1606,2106r-9,36l1595,2177r5,35l1611,2246r18,32l1652,2307r30,27l1717,2358r55,27l1836,2403r73,9l2178,2412r-10,5l2119,2434r-51,13l2014,2456r-55,4xm2151,1865r-22,-2l2106,1863r26,l2151,1865xm2178,2412r-269,l1988,2410r73,-13l2135,2373r68,-33l2259,2301r40,-42l2318,2224r8,-32l2326,2160r-6,-33l2328,2139r9,15l2345,2170r5,13l2353,2228r-10,42l2320,2310r-34,36l2252,2373r-40,23l2178,2412xe" fillcolor="#038d96" stroked="f">
              <v:stroke joinstyle="round"/>
              <v:formulas/>
              <v:path arrowok="t" o:connecttype="segments"/>
            </v:shape>
            <v:shape id="_x0000_s1040" style="position:absolute;left:1625;top:1883;width:902;height:527" coordorigin="1625,1883" coordsize="902,527" o:spt="100" adj="0,,0" path="m1930,2388r-22,-1l1883,2386r-25,-3l1838,2380r-62,-18l1724,2338r-40,-31l1654,2272r-17,-31l1628,2209r-3,-34l1630,2140r11,-35l1658,2071r25,-33l1714,2007r58,-42l1837,1931r71,-24l1982,1891r76,-8l2134,1884r75,8l2280,1909r65,24l2346,1934r-234,l2059,1934r-52,5l1955,1948r-66,19l1829,1995r-53,37l1734,2077r-27,59l1703,2202r19,63l1764,2318r37,26l1839,2363r42,14l1930,2388xm2376,2409r14,-11l2403,2385r13,-12l2428,2360r26,-36l2474,2286r13,-39l2492,2206r-9,-65l2455,2084r-43,-48l2356,1997r-43,-21l2266,1959r-49,-12l2165,1938r-53,-4l2346,1934r57,31l2452,2004r39,46l2516,2104r11,53l2524,2210r-17,53l2477,2313r-20,26l2433,2364r-27,23l2376,2409xe" fillcolor="#f0a18a" stroked="f">
              <v:stroke joinstyle="round"/>
              <v:formulas/>
              <v:path arrowok="t" o:connecttype="segments"/>
            </v:shape>
            <v:shape id="_x0000_s1039" type="#_x0000_t75" style="position:absolute;left:1735;top:2066;width:575;height:190">
              <v:imagedata r:id="rId96" o:title=""/>
            </v:shape>
            <v:shape id="_x0000_s1038" style="position:absolute;left:2491;top:1895;width:375;height:444" coordorigin="2491,1896" coordsize="375,444" o:spt="100" adj="0,,0" path="m2491,2339r28,-44l2538,2249r11,-48l2550,2151r-1,-11l2548,2129r-2,-12l2544,2106r5,-4l2554,2097r5,-5l2586,2066r22,-28l2626,2006r14,-35l2682,1912r62,-16l2811,1914r37,30l2714,1944r-9,7l2703,1970r7,9l2730,1981r116,l2815,2014r-46,58l2723,2130r-46,57l2627,2240r-33,29l2560,2295r-35,23l2491,2339xm2846,1981r-116,l2738,1974r2,-19l2733,1946r-19,-2l2848,1944r18,16l2846,1981xe" fillcolor="#67b5bd" stroked="f">
              <v:stroke joinstyle="round"/>
              <v:formulas/>
              <v:path arrowok="t" o:connecttype="segments"/>
            </v:shape>
            <v:shape id="_x0000_s1037" type="#_x0000_t75" style="position:absolute;left:1290;top:2204;width:239;height:132">
              <v:imagedata r:id="rId97" o:title=""/>
            </v:shape>
            <v:shape id="_x0000_s1036" type="#_x0000_t75" style="position:absolute;left:2164;top:2395;width:364;height:194">
              <v:imagedata r:id="rId98" o:title=""/>
            </v:shape>
            <v:shape id="_x0000_s1035" type="#_x0000_t75" style="position:absolute;left:1503;top:2448;width:376;height:140">
              <v:imagedata r:id="rId99" o:title=""/>
            </v:shape>
            <w10:wrap type="topAndBottom" anchorx="page"/>
          </v:group>
        </w:pict>
      </w:r>
      <w:r w:rsidR="009740A5">
        <w:rPr>
          <w:noProof/>
          <w:lang w:bidi="ar-SA"/>
        </w:rPr>
        <w:drawing>
          <wp:anchor distT="0" distB="0" distL="0" distR="0" simplePos="0" relativeHeight="1672" behindDoc="0" locked="0" layoutInCell="1" allowOverlap="1">
            <wp:simplePos x="0" y="0"/>
            <wp:positionH relativeFrom="page">
              <wp:posOffset>2557208</wp:posOffset>
            </wp:positionH>
            <wp:positionV relativeFrom="paragraph">
              <wp:posOffset>1129155</wp:posOffset>
            </wp:positionV>
            <wp:extent cx="1794183" cy="550354"/>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00" cstate="print"/>
                    <a:stretch>
                      <a:fillRect/>
                    </a:stretch>
                  </pic:blipFill>
                  <pic:spPr>
                    <a:xfrm>
                      <a:off x="0" y="0"/>
                      <a:ext cx="1794183" cy="550354"/>
                    </a:xfrm>
                    <a:prstGeom prst="rect">
                      <a:avLst/>
                    </a:prstGeom>
                  </pic:spPr>
                </pic:pic>
              </a:graphicData>
            </a:graphic>
          </wp:anchor>
        </w:drawing>
      </w:r>
    </w:p>
    <w:p w:rsidR="007E59EF" w:rsidRDefault="007E59EF">
      <w:pPr>
        <w:pStyle w:val="BodyText"/>
        <w:spacing w:before="9"/>
        <w:rPr>
          <w:sz w:val="14"/>
        </w:rPr>
      </w:pPr>
    </w:p>
    <w:p w:rsidR="007E59EF" w:rsidRDefault="007E59EF">
      <w:pPr>
        <w:pStyle w:val="BodyText"/>
        <w:spacing w:before="10"/>
        <w:rPr>
          <w:sz w:val="21"/>
        </w:rPr>
      </w:pPr>
    </w:p>
    <w:p w:rsidR="007E59EF" w:rsidRDefault="007E59EF">
      <w:pPr>
        <w:pStyle w:val="BodyText"/>
      </w:pPr>
    </w:p>
    <w:p w:rsidR="007E59EF" w:rsidRDefault="007B7991">
      <w:pPr>
        <w:pStyle w:val="BodyText"/>
        <w:spacing w:before="1"/>
        <w:rPr>
          <w:sz w:val="12"/>
        </w:rPr>
      </w:pPr>
      <w:r>
        <w:pict>
          <v:line id="_x0000_s1033" style="position:absolute;z-index:1696;mso-wrap-distance-left:0;mso-wrap-distance-right:0;mso-position-horizontal-relative:page" from="134.3pt,9.4pt" to="265.15pt,9.4pt" strokecolor="#8dbfd0" strokeweight="1pt">
            <w10:wrap type="topAndBottom" anchorx="page"/>
          </v:line>
        </w:pict>
      </w:r>
      <w:r>
        <w:pict>
          <v:group id="_x0000_s1029" style="position:absolute;margin-left:70.1pt;margin-top:21.6pt;width:67.2pt;height:61.4pt;z-index:1720;mso-wrap-distance-left:0;mso-wrap-distance-right:0;mso-position-horizontal-relative:page" coordorigin="1402,432" coordsize="1344,1228">
            <v:shape id="_x0000_s1032" type="#_x0000_t75" style="position:absolute;left:1401;top:432;width:1344;height:1228">
              <v:imagedata r:id="rId101" o:title=""/>
            </v:shape>
            <v:line id="_x0000_s1031" style="position:absolute" from="2568,747" to="2568,953" strokecolor="#231f20" strokeweight=".62936mm"/>
            <v:line id="_x0000_s1030" style="position:absolute" from="2493,729" to="2644,729" strokecolor="#231f20" strokeweight=".63569mm"/>
            <w10:wrap type="topAndBottom" anchorx="page"/>
          </v:group>
        </w:pict>
      </w:r>
      <w:r w:rsidR="009740A5">
        <w:rPr>
          <w:noProof/>
          <w:lang w:bidi="ar-SA"/>
        </w:rPr>
        <w:drawing>
          <wp:anchor distT="0" distB="0" distL="0" distR="0" simplePos="0" relativeHeight="1744" behindDoc="0" locked="0" layoutInCell="1" allowOverlap="1">
            <wp:simplePos x="0" y="0"/>
            <wp:positionH relativeFrom="page">
              <wp:posOffset>2653250</wp:posOffset>
            </wp:positionH>
            <wp:positionV relativeFrom="paragraph">
              <wp:posOffset>572574</wp:posOffset>
            </wp:positionV>
            <wp:extent cx="1617597" cy="209550"/>
            <wp:effectExtent l="0" t="0" r="0" b="0"/>
            <wp:wrapTopAndBottom/>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02" cstate="print"/>
                    <a:stretch>
                      <a:fillRect/>
                    </a:stretch>
                  </pic:blipFill>
                  <pic:spPr>
                    <a:xfrm>
                      <a:off x="0" y="0"/>
                      <a:ext cx="1617597" cy="209550"/>
                    </a:xfrm>
                    <a:prstGeom prst="rect">
                      <a:avLst/>
                    </a:prstGeom>
                  </pic:spPr>
                </pic:pic>
              </a:graphicData>
            </a:graphic>
          </wp:anchor>
        </w:drawing>
      </w:r>
    </w:p>
    <w:p w:rsidR="007E59EF" w:rsidRDefault="007E59EF">
      <w:pPr>
        <w:pStyle w:val="BodyText"/>
        <w:spacing w:before="4"/>
        <w:rPr>
          <w:sz w:val="14"/>
        </w:rPr>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E59EF">
      <w:pPr>
        <w:pStyle w:val="BodyText"/>
      </w:pPr>
    </w:p>
    <w:p w:rsidR="007E59EF" w:rsidRDefault="007B7991">
      <w:pPr>
        <w:pStyle w:val="BodyText"/>
        <w:spacing w:before="1"/>
        <w:rPr>
          <w:sz w:val="17"/>
        </w:rPr>
      </w:pPr>
      <w:r>
        <w:pict>
          <v:line id="_x0000_s1028" style="position:absolute;z-index:1768;mso-wrap-distance-left:0;mso-wrap-distance-right:0;mso-position-horizontal-relative:page" from="51.2pt,12.25pt" to="338.15pt,12.25pt" strokecolor="#8dbfd0" strokeweight="1pt">
            <w10:wrap type="topAndBottom" anchorx="page"/>
          </v:line>
        </w:pict>
      </w:r>
    </w:p>
    <w:p w:rsidR="007E59EF" w:rsidRDefault="007E59EF">
      <w:pPr>
        <w:pStyle w:val="BodyText"/>
        <w:spacing w:before="9"/>
        <w:rPr>
          <w:sz w:val="28"/>
        </w:rPr>
      </w:pPr>
    </w:p>
    <w:p w:rsidR="007E59EF" w:rsidRDefault="009740A5">
      <w:pPr>
        <w:pStyle w:val="Heading1"/>
        <w:spacing w:before="91"/>
      </w:pPr>
      <w:r>
        <w:rPr>
          <w:color w:val="517489"/>
        </w:rPr>
        <w:t>Suggested Citation</w:t>
      </w:r>
    </w:p>
    <w:p w:rsidR="007E59EF" w:rsidRDefault="009740A5">
      <w:pPr>
        <w:spacing w:before="159" w:line="314" w:lineRule="auto"/>
        <w:ind w:left="1065" w:right="5034"/>
        <w:rPr>
          <w:sz w:val="20"/>
        </w:rPr>
      </w:pPr>
      <w:r>
        <w:rPr>
          <w:color w:val="414042"/>
          <w:sz w:val="20"/>
        </w:rPr>
        <w:t xml:space="preserve">National Wraparound Initiative, National Wraparound Implementation Center, &amp; Wraparound Evaluation and Research Team. (2019). </w:t>
      </w:r>
      <w:r>
        <w:rPr>
          <w:i/>
          <w:color w:val="414042"/>
          <w:sz w:val="20"/>
        </w:rPr>
        <w:t xml:space="preserve">Nominating Wraparound for the FFPSA Prevention Services Clearinghouse. </w:t>
      </w:r>
      <w:r>
        <w:rPr>
          <w:color w:val="414042"/>
          <w:sz w:val="20"/>
        </w:rPr>
        <w:t>Portland,</w:t>
      </w:r>
      <w:r w:rsidR="0069245C">
        <w:rPr>
          <w:color w:val="414042"/>
          <w:sz w:val="20"/>
        </w:rPr>
        <w:t xml:space="preserve"> OR: National Wraparound Initia</w:t>
      </w:r>
      <w:r>
        <w:rPr>
          <w:color w:val="414042"/>
          <w:sz w:val="20"/>
        </w:rPr>
        <w:t>tive.</w:t>
      </w:r>
    </w:p>
    <w:p w:rsidR="007E59EF" w:rsidRDefault="007E59EF">
      <w:pPr>
        <w:pStyle w:val="BodyText"/>
      </w:pPr>
    </w:p>
    <w:p w:rsidR="007E59EF" w:rsidRDefault="007E59EF">
      <w:pPr>
        <w:pStyle w:val="BodyText"/>
      </w:pPr>
    </w:p>
    <w:p w:rsidR="007E59EF" w:rsidRDefault="007B7991">
      <w:pPr>
        <w:pStyle w:val="BodyText"/>
        <w:spacing w:before="3"/>
        <w:rPr>
          <w:sz w:val="11"/>
        </w:rPr>
      </w:pPr>
      <w:r>
        <w:pict>
          <v:shape id="_x0000_s1027" type="#_x0000_t202" style="position:absolute;margin-left:0;margin-top:12.15pt;width:392.4pt;height:83pt;z-index:1792;mso-wrap-distance-left:0;mso-wrap-distance-right:0;mso-position-horizontal-relative:page" fillcolor="#3e6a80" stroked="f">
            <v:textbox inset="0,0,0,0">
              <w:txbxContent>
                <w:p w:rsidR="009740A5" w:rsidRDefault="009740A5">
                  <w:pPr>
                    <w:pStyle w:val="BodyText"/>
                    <w:spacing w:before="2"/>
                    <w:rPr>
                      <w:sz w:val="47"/>
                    </w:rPr>
                  </w:pPr>
                </w:p>
                <w:p w:rsidR="009740A5" w:rsidRDefault="007B7991">
                  <w:pPr>
                    <w:ind w:left="2617"/>
                    <w:rPr>
                      <w:sz w:val="50"/>
                    </w:rPr>
                  </w:pPr>
                  <w:hyperlink r:id="rId103">
                    <w:r w:rsidR="009740A5">
                      <w:rPr>
                        <w:color w:val="FFFFFF"/>
                        <w:sz w:val="50"/>
                      </w:rPr>
                      <w:t>nwi.pdx.edu</w:t>
                    </w:r>
                  </w:hyperlink>
                </w:p>
              </w:txbxContent>
            </v:textbox>
            <w10:wrap type="topAndBottom" anchorx="page"/>
          </v:shape>
        </w:pict>
      </w:r>
      <w:r>
        <w:pict>
          <v:shape id="_x0000_s1026" type="#_x0000_t202" style="position:absolute;margin-left:299.25pt;margin-top:100.3pt;width:14.55pt;height:13.5pt;z-index:1816;mso-wrap-distance-left:0;mso-wrap-distance-right:0;mso-position-horizontal-relative:page" filled="f" stroked="f">
            <v:textbox inset="0,0,0,0">
              <w:txbxContent>
                <w:p w:rsidR="009740A5" w:rsidRDefault="009740A5">
                  <w:pPr>
                    <w:spacing w:line="269" w:lineRule="exact"/>
                    <w:rPr>
                      <w:rFonts w:ascii="Ubuntu"/>
                      <w:sz w:val="24"/>
                    </w:rPr>
                  </w:pPr>
                  <w:r>
                    <w:rPr>
                      <w:rFonts w:ascii="Ubuntu"/>
                      <w:color w:val="517489"/>
                      <w:sz w:val="24"/>
                    </w:rPr>
                    <w:t>1</w:t>
                  </w:r>
                  <w:r w:rsidR="00C52DE8">
                    <w:rPr>
                      <w:rFonts w:ascii="Ubuntu"/>
                      <w:color w:val="517489"/>
                      <w:sz w:val="24"/>
                    </w:rPr>
                    <w:t>2</w:t>
                  </w:r>
                </w:p>
              </w:txbxContent>
            </v:textbox>
            <w10:wrap type="topAndBottom" anchorx="page"/>
          </v:shape>
        </w:pict>
      </w:r>
    </w:p>
    <w:p w:rsidR="007E59EF" w:rsidRDefault="007E59EF">
      <w:pPr>
        <w:pStyle w:val="BodyText"/>
        <w:spacing w:before="3"/>
        <w:rPr>
          <w:sz w:val="13"/>
        </w:rPr>
      </w:pPr>
    </w:p>
    <w:sectPr w:rsidR="007E59EF">
      <w:footerReference w:type="default" r:id="rId104"/>
      <w:pgSz w:w="12240" w:h="15840"/>
      <w:pgMar w:top="106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0A5" w:rsidRDefault="009740A5">
      <w:r>
        <w:separator/>
      </w:r>
    </w:p>
  </w:endnote>
  <w:endnote w:type="continuationSeparator" w:id="0">
    <w:p w:rsidR="009740A5" w:rsidRDefault="0097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Ubuntu Light">
    <w:altName w:val="Ubuntu Light"/>
    <w:panose1 w:val="020B0304030602030204"/>
    <w:charset w:val="00"/>
    <w:family w:val="swiss"/>
    <w:pitch w:val="variable"/>
    <w:sig w:usb0="E00002FF" w:usb1="5000205B" w:usb2="00000000" w:usb3="00000000" w:csb0="0000009F" w:csb1="00000000"/>
  </w:font>
  <w:font w:name="Ubuntu">
    <w:altName w:val="Ubuntu"/>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0A5" w:rsidRDefault="007B7991">
    <w:pPr>
      <w:pStyle w:val="BodyText"/>
      <w:spacing w:line="14" w:lineRule="auto"/>
    </w:pPr>
    <w:r>
      <w:pict>
        <v:rect id="_x0000_s2052" style="position:absolute;margin-left:0;margin-top:749pt;width:612pt;height:43pt;z-index:-27880;mso-position-horizontal-relative:page;mso-position-vertical-relative:page" fillcolor="#fada51"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300.6pt;margin-top:757.6pt;width:10.8pt;height:15.5pt;z-index:-27856;mso-position-horizontal-relative:page;mso-position-vertical-relative:page" filled="f" stroked="f">
          <v:textbox inset="0,0,0,0">
            <w:txbxContent>
              <w:p w:rsidR="009740A5" w:rsidRDefault="009740A5">
                <w:pPr>
                  <w:spacing w:before="13"/>
                  <w:ind w:left="40"/>
                  <w:rPr>
                    <w:rFonts w:ascii="Ubuntu"/>
                    <w:sz w:val="24"/>
                  </w:rPr>
                </w:pPr>
                <w:r>
                  <w:fldChar w:fldCharType="begin"/>
                </w:r>
                <w:r>
                  <w:rPr>
                    <w:rFonts w:ascii="Ubuntu"/>
                    <w:color w:val="517489"/>
                    <w:sz w:val="24"/>
                  </w:rPr>
                  <w:instrText xml:space="preserve"> PAGE </w:instrText>
                </w:r>
                <w:r>
                  <w:fldChar w:fldCharType="separate"/>
                </w:r>
                <w:r w:rsidR="00C52DE8">
                  <w:rPr>
                    <w:rFonts w:ascii="Ubuntu"/>
                    <w:noProof/>
                    <w:color w:val="517489"/>
                    <w:sz w:val="24"/>
                  </w:rPr>
                  <w:t>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0A5" w:rsidRDefault="009740A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0A5" w:rsidRDefault="007B7991">
    <w:pPr>
      <w:pStyle w:val="BodyText"/>
      <w:spacing w:line="14" w:lineRule="auto"/>
    </w:pPr>
    <w:r>
      <w:pict>
        <v:rect id="_x0000_s2050" style="position:absolute;margin-left:0;margin-top:749pt;width:612pt;height:43pt;z-index:-27832;mso-position-horizontal-relative:page;mso-position-vertical-relative:page" fillcolor="#fada51" stroked="f">
          <w10:wrap anchorx="page" anchory="page"/>
        </v:rect>
      </w:pict>
    </w:r>
    <w:r>
      <w:pict>
        <v:shapetype id="_x0000_t202" coordsize="21600,21600" o:spt="202" path="m,l,21600r21600,l21600,xe">
          <v:stroke joinstyle="miter"/>
          <v:path gradientshapeok="t" o:connecttype="rect"/>
        </v:shapetype>
        <v:shape id="_x0000_s2049" type="#_x0000_t202" style="position:absolute;margin-left:297.25pt;margin-top:757.6pt;width:17.55pt;height:15.5pt;z-index:-27808;mso-position-horizontal-relative:page;mso-position-vertical-relative:page" filled="f" stroked="f">
          <v:textbox style="mso-next-textbox:#_x0000_s2049" inset="0,0,0,0">
            <w:txbxContent>
              <w:p w:rsidR="009740A5" w:rsidRDefault="009740A5">
                <w:pPr>
                  <w:spacing w:before="13"/>
                  <w:ind w:left="40"/>
                  <w:rPr>
                    <w:rFonts w:ascii="Ubuntu"/>
                    <w:sz w:val="24"/>
                  </w:rPr>
                </w:pPr>
                <w:r>
                  <w:fldChar w:fldCharType="begin"/>
                </w:r>
                <w:r>
                  <w:rPr>
                    <w:rFonts w:ascii="Ubuntu"/>
                    <w:color w:val="517489"/>
                    <w:sz w:val="24"/>
                  </w:rPr>
                  <w:instrText xml:space="preserve"> PAGE </w:instrText>
                </w:r>
                <w:r>
                  <w:fldChar w:fldCharType="separate"/>
                </w:r>
                <w:r w:rsidR="00C52DE8">
                  <w:rPr>
                    <w:rFonts w:ascii="Ubuntu"/>
                    <w:noProof/>
                    <w:color w:val="517489"/>
                    <w:sz w:val="24"/>
                  </w:rPr>
                  <w:t>11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0A5" w:rsidRDefault="009740A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0A5" w:rsidRDefault="009740A5">
      <w:r>
        <w:separator/>
      </w:r>
    </w:p>
  </w:footnote>
  <w:footnote w:type="continuationSeparator" w:id="0">
    <w:p w:rsidR="009740A5" w:rsidRDefault="00974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74697"/>
    <w:multiLevelType w:val="hybridMultilevel"/>
    <w:tmpl w:val="CE366396"/>
    <w:lvl w:ilvl="0" w:tplc="EA6A654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C3413"/>
    <w:multiLevelType w:val="hybridMultilevel"/>
    <w:tmpl w:val="E30CC576"/>
    <w:lvl w:ilvl="0" w:tplc="EBF0E0D6">
      <w:start w:val="1"/>
      <w:numFmt w:val="decimal"/>
      <w:lvlText w:val="%1."/>
      <w:lvlJc w:val="left"/>
      <w:pPr>
        <w:ind w:left="1260" w:hanging="156"/>
        <w:jc w:val="right"/>
      </w:pPr>
      <w:rPr>
        <w:rFonts w:ascii="Ubuntu Light" w:eastAsia="Ubuntu Light" w:hAnsi="Ubuntu Light" w:cs="Ubuntu Light" w:hint="default"/>
        <w:color w:val="414042"/>
        <w:spacing w:val="-7"/>
        <w:w w:val="100"/>
        <w:sz w:val="15"/>
        <w:szCs w:val="15"/>
        <w:lang w:val="en-US" w:eastAsia="en-US" w:bidi="en-US"/>
      </w:rPr>
    </w:lvl>
    <w:lvl w:ilvl="1" w:tplc="28D8721E">
      <w:start w:val="1"/>
      <w:numFmt w:val="upperLetter"/>
      <w:lvlText w:val="%2."/>
      <w:lvlJc w:val="left"/>
      <w:pPr>
        <w:ind w:left="3598" w:hanging="387"/>
      </w:pPr>
      <w:rPr>
        <w:rFonts w:ascii="Ubuntu" w:eastAsia="Ubuntu" w:hAnsi="Ubuntu" w:cs="Ubuntu" w:hint="default"/>
        <w:color w:val="517489"/>
        <w:spacing w:val="0"/>
        <w:w w:val="100"/>
        <w:sz w:val="34"/>
        <w:szCs w:val="34"/>
        <w:lang w:val="en-US" w:eastAsia="en-US" w:bidi="en-US"/>
      </w:rPr>
    </w:lvl>
    <w:lvl w:ilvl="2" w:tplc="6FDCB282">
      <w:numFmt w:val="bullet"/>
      <w:lvlText w:val="•"/>
      <w:lvlJc w:val="left"/>
      <w:pPr>
        <w:ind w:left="3848" w:hanging="387"/>
      </w:pPr>
      <w:rPr>
        <w:rFonts w:hint="default"/>
        <w:lang w:val="en-US" w:eastAsia="en-US" w:bidi="en-US"/>
      </w:rPr>
    </w:lvl>
    <w:lvl w:ilvl="3" w:tplc="D400BC0C">
      <w:numFmt w:val="bullet"/>
      <w:lvlText w:val="•"/>
      <w:lvlJc w:val="left"/>
      <w:pPr>
        <w:ind w:left="4096" w:hanging="387"/>
      </w:pPr>
      <w:rPr>
        <w:rFonts w:hint="default"/>
        <w:lang w:val="en-US" w:eastAsia="en-US" w:bidi="en-US"/>
      </w:rPr>
    </w:lvl>
    <w:lvl w:ilvl="4" w:tplc="8EFA7732">
      <w:numFmt w:val="bullet"/>
      <w:lvlText w:val="•"/>
      <w:lvlJc w:val="left"/>
      <w:pPr>
        <w:ind w:left="4345" w:hanging="387"/>
      </w:pPr>
      <w:rPr>
        <w:rFonts w:hint="default"/>
        <w:lang w:val="en-US" w:eastAsia="en-US" w:bidi="en-US"/>
      </w:rPr>
    </w:lvl>
    <w:lvl w:ilvl="5" w:tplc="2C120048">
      <w:numFmt w:val="bullet"/>
      <w:lvlText w:val="•"/>
      <w:lvlJc w:val="left"/>
      <w:pPr>
        <w:ind w:left="4593" w:hanging="387"/>
      </w:pPr>
      <w:rPr>
        <w:rFonts w:hint="default"/>
        <w:lang w:val="en-US" w:eastAsia="en-US" w:bidi="en-US"/>
      </w:rPr>
    </w:lvl>
    <w:lvl w:ilvl="6" w:tplc="48B6EA24">
      <w:numFmt w:val="bullet"/>
      <w:lvlText w:val="•"/>
      <w:lvlJc w:val="left"/>
      <w:pPr>
        <w:ind w:left="4841" w:hanging="387"/>
      </w:pPr>
      <w:rPr>
        <w:rFonts w:hint="default"/>
        <w:lang w:val="en-US" w:eastAsia="en-US" w:bidi="en-US"/>
      </w:rPr>
    </w:lvl>
    <w:lvl w:ilvl="7" w:tplc="FFB422A2">
      <w:numFmt w:val="bullet"/>
      <w:lvlText w:val="•"/>
      <w:lvlJc w:val="left"/>
      <w:pPr>
        <w:ind w:left="5090" w:hanging="387"/>
      </w:pPr>
      <w:rPr>
        <w:rFonts w:hint="default"/>
        <w:lang w:val="en-US" w:eastAsia="en-US" w:bidi="en-US"/>
      </w:rPr>
    </w:lvl>
    <w:lvl w:ilvl="8" w:tplc="E314FF3E">
      <w:numFmt w:val="bullet"/>
      <w:lvlText w:val="•"/>
      <w:lvlJc w:val="left"/>
      <w:pPr>
        <w:ind w:left="5338" w:hanging="387"/>
      </w:pPr>
      <w:rPr>
        <w:rFonts w:hint="default"/>
        <w:lang w:val="en-US" w:eastAsia="en-US" w:bidi="en-US"/>
      </w:rPr>
    </w:lvl>
  </w:abstractNum>
  <w:abstractNum w:abstractNumId="2" w15:restartNumberingAfterBreak="0">
    <w:nsid w:val="4CDC50FD"/>
    <w:multiLevelType w:val="hybridMultilevel"/>
    <w:tmpl w:val="9586C02A"/>
    <w:lvl w:ilvl="0" w:tplc="BAA6F7B8">
      <w:start w:val="10"/>
      <w:numFmt w:val="decimal"/>
      <w:lvlText w:val="%1."/>
      <w:lvlJc w:val="left"/>
      <w:pPr>
        <w:ind w:left="1320" w:hanging="241"/>
        <w:jc w:val="right"/>
      </w:pPr>
      <w:rPr>
        <w:rFonts w:ascii="Ubuntu Light" w:eastAsia="Ubuntu Light" w:hAnsi="Ubuntu Light" w:cs="Ubuntu Light" w:hint="default"/>
        <w:color w:val="414042"/>
        <w:spacing w:val="-7"/>
        <w:w w:val="100"/>
        <w:sz w:val="15"/>
        <w:szCs w:val="15"/>
        <w:lang w:val="en-US" w:eastAsia="en-US" w:bidi="en-US"/>
      </w:rPr>
    </w:lvl>
    <w:lvl w:ilvl="1" w:tplc="F71EC3CE">
      <w:numFmt w:val="bullet"/>
      <w:lvlText w:val="•"/>
      <w:lvlJc w:val="left"/>
      <w:pPr>
        <w:ind w:left="1778" w:hanging="241"/>
      </w:pPr>
      <w:rPr>
        <w:rFonts w:hint="default"/>
        <w:lang w:val="en-US" w:eastAsia="en-US" w:bidi="en-US"/>
      </w:rPr>
    </w:lvl>
    <w:lvl w:ilvl="2" w:tplc="670E0DF2">
      <w:numFmt w:val="bullet"/>
      <w:lvlText w:val="•"/>
      <w:lvlJc w:val="left"/>
      <w:pPr>
        <w:ind w:left="2237" w:hanging="241"/>
      </w:pPr>
      <w:rPr>
        <w:rFonts w:hint="default"/>
        <w:lang w:val="en-US" w:eastAsia="en-US" w:bidi="en-US"/>
      </w:rPr>
    </w:lvl>
    <w:lvl w:ilvl="3" w:tplc="479CA52E">
      <w:numFmt w:val="bullet"/>
      <w:lvlText w:val="•"/>
      <w:lvlJc w:val="left"/>
      <w:pPr>
        <w:ind w:left="2695" w:hanging="241"/>
      </w:pPr>
      <w:rPr>
        <w:rFonts w:hint="default"/>
        <w:lang w:val="en-US" w:eastAsia="en-US" w:bidi="en-US"/>
      </w:rPr>
    </w:lvl>
    <w:lvl w:ilvl="4" w:tplc="884E8BC8">
      <w:numFmt w:val="bullet"/>
      <w:lvlText w:val="•"/>
      <w:lvlJc w:val="left"/>
      <w:pPr>
        <w:ind w:left="3154" w:hanging="241"/>
      </w:pPr>
      <w:rPr>
        <w:rFonts w:hint="default"/>
        <w:lang w:val="en-US" w:eastAsia="en-US" w:bidi="en-US"/>
      </w:rPr>
    </w:lvl>
    <w:lvl w:ilvl="5" w:tplc="20A47448">
      <w:numFmt w:val="bullet"/>
      <w:lvlText w:val="•"/>
      <w:lvlJc w:val="left"/>
      <w:pPr>
        <w:ind w:left="3613" w:hanging="241"/>
      </w:pPr>
      <w:rPr>
        <w:rFonts w:hint="default"/>
        <w:lang w:val="en-US" w:eastAsia="en-US" w:bidi="en-US"/>
      </w:rPr>
    </w:lvl>
    <w:lvl w:ilvl="6" w:tplc="8CD4471A">
      <w:numFmt w:val="bullet"/>
      <w:lvlText w:val="•"/>
      <w:lvlJc w:val="left"/>
      <w:pPr>
        <w:ind w:left="4071" w:hanging="241"/>
      </w:pPr>
      <w:rPr>
        <w:rFonts w:hint="default"/>
        <w:lang w:val="en-US" w:eastAsia="en-US" w:bidi="en-US"/>
      </w:rPr>
    </w:lvl>
    <w:lvl w:ilvl="7" w:tplc="3E7EB828">
      <w:numFmt w:val="bullet"/>
      <w:lvlText w:val="•"/>
      <w:lvlJc w:val="left"/>
      <w:pPr>
        <w:ind w:left="4530" w:hanging="241"/>
      </w:pPr>
      <w:rPr>
        <w:rFonts w:hint="default"/>
        <w:lang w:val="en-US" w:eastAsia="en-US" w:bidi="en-US"/>
      </w:rPr>
    </w:lvl>
    <w:lvl w:ilvl="8" w:tplc="4594BE66">
      <w:numFmt w:val="bullet"/>
      <w:lvlText w:val="•"/>
      <w:lvlJc w:val="left"/>
      <w:pPr>
        <w:ind w:left="4989" w:hanging="241"/>
      </w:pPr>
      <w:rPr>
        <w:rFonts w:hint="default"/>
        <w:lang w:val="en-US" w:eastAsia="en-US" w:bidi="en-US"/>
      </w:rPr>
    </w:lvl>
  </w:abstractNum>
  <w:abstractNum w:abstractNumId="3" w15:restartNumberingAfterBreak="0">
    <w:nsid w:val="5DD85EF4"/>
    <w:multiLevelType w:val="hybridMultilevel"/>
    <w:tmpl w:val="1374BE48"/>
    <w:lvl w:ilvl="0" w:tplc="8622309E">
      <w:start w:val="1"/>
      <w:numFmt w:val="upperLetter"/>
      <w:lvlText w:val="%1."/>
      <w:lvlJc w:val="left"/>
      <w:pPr>
        <w:ind w:left="1463" w:hanging="384"/>
      </w:pPr>
      <w:rPr>
        <w:rFonts w:ascii="Ubuntu" w:eastAsia="Ubuntu" w:hAnsi="Ubuntu" w:cs="Ubuntu" w:hint="default"/>
        <w:color w:val="517489"/>
        <w:spacing w:val="0"/>
        <w:w w:val="100"/>
        <w:sz w:val="34"/>
        <w:szCs w:val="34"/>
        <w:lang w:val="en-US" w:eastAsia="en-US" w:bidi="en-US"/>
      </w:rPr>
    </w:lvl>
    <w:lvl w:ilvl="1" w:tplc="9E245E3C">
      <w:start w:val="1"/>
      <w:numFmt w:val="decimal"/>
      <w:lvlText w:val="%2."/>
      <w:lvlJc w:val="left"/>
      <w:pPr>
        <w:ind w:left="1420" w:hanging="340"/>
        <w:jc w:val="right"/>
      </w:pPr>
      <w:rPr>
        <w:rFonts w:ascii="Ubuntu Light" w:eastAsia="Ubuntu Light" w:hAnsi="Ubuntu Light" w:cs="Ubuntu Light" w:hint="default"/>
        <w:color w:val="414042"/>
        <w:spacing w:val="-9"/>
        <w:w w:val="100"/>
        <w:sz w:val="20"/>
        <w:szCs w:val="20"/>
        <w:lang w:val="en-US" w:eastAsia="en-US" w:bidi="en-US"/>
      </w:rPr>
    </w:lvl>
    <w:lvl w:ilvl="2" w:tplc="924C17DA">
      <w:numFmt w:val="bullet"/>
      <w:lvlText w:val="•"/>
      <w:lvlJc w:val="left"/>
      <w:pPr>
        <w:ind w:left="1460" w:hanging="340"/>
      </w:pPr>
      <w:rPr>
        <w:rFonts w:hint="default"/>
        <w:lang w:val="en-US" w:eastAsia="en-US" w:bidi="en-US"/>
      </w:rPr>
    </w:lvl>
    <w:lvl w:ilvl="3" w:tplc="48F43638">
      <w:numFmt w:val="bullet"/>
      <w:lvlText w:val="•"/>
      <w:lvlJc w:val="left"/>
      <w:pPr>
        <w:ind w:left="2015" w:hanging="340"/>
      </w:pPr>
      <w:rPr>
        <w:rFonts w:hint="default"/>
        <w:lang w:val="en-US" w:eastAsia="en-US" w:bidi="en-US"/>
      </w:rPr>
    </w:lvl>
    <w:lvl w:ilvl="4" w:tplc="73529FAA">
      <w:numFmt w:val="bullet"/>
      <w:lvlText w:val="•"/>
      <w:lvlJc w:val="left"/>
      <w:pPr>
        <w:ind w:left="2571" w:hanging="340"/>
      </w:pPr>
      <w:rPr>
        <w:rFonts w:hint="default"/>
        <w:lang w:val="en-US" w:eastAsia="en-US" w:bidi="en-US"/>
      </w:rPr>
    </w:lvl>
    <w:lvl w:ilvl="5" w:tplc="CA5227BE">
      <w:numFmt w:val="bullet"/>
      <w:lvlText w:val="•"/>
      <w:lvlJc w:val="left"/>
      <w:pPr>
        <w:ind w:left="3127" w:hanging="340"/>
      </w:pPr>
      <w:rPr>
        <w:rFonts w:hint="default"/>
        <w:lang w:val="en-US" w:eastAsia="en-US" w:bidi="en-US"/>
      </w:rPr>
    </w:lvl>
    <w:lvl w:ilvl="6" w:tplc="1F16E6A4">
      <w:numFmt w:val="bullet"/>
      <w:lvlText w:val="•"/>
      <w:lvlJc w:val="left"/>
      <w:pPr>
        <w:ind w:left="3683" w:hanging="340"/>
      </w:pPr>
      <w:rPr>
        <w:rFonts w:hint="default"/>
        <w:lang w:val="en-US" w:eastAsia="en-US" w:bidi="en-US"/>
      </w:rPr>
    </w:lvl>
    <w:lvl w:ilvl="7" w:tplc="D4241CEC">
      <w:numFmt w:val="bullet"/>
      <w:lvlText w:val="•"/>
      <w:lvlJc w:val="left"/>
      <w:pPr>
        <w:ind w:left="4239" w:hanging="340"/>
      </w:pPr>
      <w:rPr>
        <w:rFonts w:hint="default"/>
        <w:lang w:val="en-US" w:eastAsia="en-US" w:bidi="en-US"/>
      </w:rPr>
    </w:lvl>
    <w:lvl w:ilvl="8" w:tplc="FF561F48">
      <w:numFmt w:val="bullet"/>
      <w:lvlText w:val="•"/>
      <w:lvlJc w:val="left"/>
      <w:pPr>
        <w:ind w:left="4794" w:hanging="340"/>
      </w:pPr>
      <w:rPr>
        <w:rFonts w:hint="default"/>
        <w:lang w:val="en-US" w:eastAsia="en-US" w:bidi="en-US"/>
      </w:rPr>
    </w:lvl>
  </w:abstractNum>
  <w:abstractNum w:abstractNumId="4" w15:restartNumberingAfterBreak="0">
    <w:nsid w:val="610E2187"/>
    <w:multiLevelType w:val="hybridMultilevel"/>
    <w:tmpl w:val="CFFC7CA0"/>
    <w:lvl w:ilvl="0" w:tplc="A4D874EE">
      <w:start w:val="2"/>
      <w:numFmt w:val="upperLetter"/>
      <w:lvlText w:val="%1."/>
      <w:lvlJc w:val="left"/>
      <w:pPr>
        <w:ind w:left="941" w:hanging="221"/>
        <w:jc w:val="right"/>
      </w:pPr>
      <w:rPr>
        <w:rFonts w:hint="default"/>
        <w:spacing w:val="-5"/>
        <w:w w:val="100"/>
        <w:lang w:val="en-US" w:eastAsia="en-US" w:bidi="en-US"/>
      </w:rPr>
    </w:lvl>
    <w:lvl w:ilvl="1" w:tplc="286041E2">
      <w:numFmt w:val="bullet"/>
      <w:lvlText w:val="•"/>
      <w:lvlJc w:val="left"/>
      <w:pPr>
        <w:ind w:left="1872" w:hanging="221"/>
      </w:pPr>
      <w:rPr>
        <w:rFonts w:hint="default"/>
        <w:lang w:val="en-US" w:eastAsia="en-US" w:bidi="en-US"/>
      </w:rPr>
    </w:lvl>
    <w:lvl w:ilvl="2" w:tplc="009CA4E8">
      <w:numFmt w:val="bullet"/>
      <w:lvlText w:val="•"/>
      <w:lvlJc w:val="left"/>
      <w:pPr>
        <w:ind w:left="2324" w:hanging="221"/>
      </w:pPr>
      <w:rPr>
        <w:rFonts w:hint="default"/>
        <w:lang w:val="en-US" w:eastAsia="en-US" w:bidi="en-US"/>
      </w:rPr>
    </w:lvl>
    <w:lvl w:ilvl="3" w:tplc="E6DE6C3C">
      <w:numFmt w:val="bullet"/>
      <w:lvlText w:val="•"/>
      <w:lvlJc w:val="left"/>
      <w:pPr>
        <w:ind w:left="2776" w:hanging="221"/>
      </w:pPr>
      <w:rPr>
        <w:rFonts w:hint="default"/>
        <w:lang w:val="en-US" w:eastAsia="en-US" w:bidi="en-US"/>
      </w:rPr>
    </w:lvl>
    <w:lvl w:ilvl="4" w:tplc="9120EB6C">
      <w:numFmt w:val="bullet"/>
      <w:lvlText w:val="•"/>
      <w:lvlJc w:val="left"/>
      <w:pPr>
        <w:ind w:left="3228" w:hanging="221"/>
      </w:pPr>
      <w:rPr>
        <w:rFonts w:hint="default"/>
        <w:lang w:val="en-US" w:eastAsia="en-US" w:bidi="en-US"/>
      </w:rPr>
    </w:lvl>
    <w:lvl w:ilvl="5" w:tplc="5170BCCC">
      <w:numFmt w:val="bullet"/>
      <w:lvlText w:val="•"/>
      <w:lvlJc w:val="left"/>
      <w:pPr>
        <w:ind w:left="3680" w:hanging="221"/>
      </w:pPr>
      <w:rPr>
        <w:rFonts w:hint="default"/>
        <w:lang w:val="en-US" w:eastAsia="en-US" w:bidi="en-US"/>
      </w:rPr>
    </w:lvl>
    <w:lvl w:ilvl="6" w:tplc="8E22596A">
      <w:numFmt w:val="bullet"/>
      <w:lvlText w:val="•"/>
      <w:lvlJc w:val="left"/>
      <w:pPr>
        <w:ind w:left="4132" w:hanging="221"/>
      </w:pPr>
      <w:rPr>
        <w:rFonts w:hint="default"/>
        <w:lang w:val="en-US" w:eastAsia="en-US" w:bidi="en-US"/>
      </w:rPr>
    </w:lvl>
    <w:lvl w:ilvl="7" w:tplc="CB7E1A00">
      <w:numFmt w:val="bullet"/>
      <w:lvlText w:val="•"/>
      <w:lvlJc w:val="left"/>
      <w:pPr>
        <w:ind w:left="4585" w:hanging="221"/>
      </w:pPr>
      <w:rPr>
        <w:rFonts w:hint="default"/>
        <w:lang w:val="en-US" w:eastAsia="en-US" w:bidi="en-US"/>
      </w:rPr>
    </w:lvl>
    <w:lvl w:ilvl="8" w:tplc="DD30306A">
      <w:numFmt w:val="bullet"/>
      <w:lvlText w:val="•"/>
      <w:lvlJc w:val="left"/>
      <w:pPr>
        <w:ind w:left="5037" w:hanging="221"/>
      </w:pPr>
      <w:rPr>
        <w:rFonts w:hint="default"/>
        <w:lang w:val="en-US" w:eastAsia="en-US" w:bidi="en-US"/>
      </w:rPr>
    </w:lvl>
  </w:abstractNum>
  <w:abstractNum w:abstractNumId="5" w15:restartNumberingAfterBreak="0">
    <w:nsid w:val="6FCB055B"/>
    <w:multiLevelType w:val="hybridMultilevel"/>
    <w:tmpl w:val="6B7E2AB6"/>
    <w:lvl w:ilvl="0" w:tplc="14AECBC0">
      <w:start w:val="1"/>
      <w:numFmt w:val="decimal"/>
      <w:lvlText w:val="%1."/>
      <w:lvlJc w:val="left"/>
      <w:pPr>
        <w:ind w:left="1350" w:hanging="270"/>
      </w:pPr>
      <w:rPr>
        <w:rFonts w:ascii="Ubuntu Light" w:eastAsia="Ubuntu Light" w:hAnsi="Ubuntu Light" w:cs="Ubuntu Light" w:hint="default"/>
        <w:color w:val="414042"/>
        <w:spacing w:val="-14"/>
        <w:w w:val="100"/>
        <w:sz w:val="20"/>
        <w:szCs w:val="20"/>
        <w:lang w:val="en-US" w:eastAsia="en-US" w:bidi="en-US"/>
      </w:rPr>
    </w:lvl>
    <w:lvl w:ilvl="1" w:tplc="FD707496">
      <w:numFmt w:val="bullet"/>
      <w:lvlText w:val="•"/>
      <w:lvlJc w:val="left"/>
      <w:pPr>
        <w:ind w:left="2448" w:hanging="270"/>
      </w:pPr>
      <w:rPr>
        <w:rFonts w:hint="default"/>
        <w:lang w:val="en-US" w:eastAsia="en-US" w:bidi="en-US"/>
      </w:rPr>
    </w:lvl>
    <w:lvl w:ilvl="2" w:tplc="1100AF32">
      <w:numFmt w:val="bullet"/>
      <w:lvlText w:val="•"/>
      <w:lvlJc w:val="left"/>
      <w:pPr>
        <w:ind w:left="3536" w:hanging="270"/>
      </w:pPr>
      <w:rPr>
        <w:rFonts w:hint="default"/>
        <w:lang w:val="en-US" w:eastAsia="en-US" w:bidi="en-US"/>
      </w:rPr>
    </w:lvl>
    <w:lvl w:ilvl="3" w:tplc="9462E7BC">
      <w:numFmt w:val="bullet"/>
      <w:lvlText w:val="•"/>
      <w:lvlJc w:val="left"/>
      <w:pPr>
        <w:ind w:left="4624" w:hanging="270"/>
      </w:pPr>
      <w:rPr>
        <w:rFonts w:hint="default"/>
        <w:lang w:val="en-US" w:eastAsia="en-US" w:bidi="en-US"/>
      </w:rPr>
    </w:lvl>
    <w:lvl w:ilvl="4" w:tplc="A6F8004A">
      <w:numFmt w:val="bullet"/>
      <w:lvlText w:val="•"/>
      <w:lvlJc w:val="left"/>
      <w:pPr>
        <w:ind w:left="5712" w:hanging="270"/>
      </w:pPr>
      <w:rPr>
        <w:rFonts w:hint="default"/>
        <w:lang w:val="en-US" w:eastAsia="en-US" w:bidi="en-US"/>
      </w:rPr>
    </w:lvl>
    <w:lvl w:ilvl="5" w:tplc="5EA2EC5E">
      <w:numFmt w:val="bullet"/>
      <w:lvlText w:val="•"/>
      <w:lvlJc w:val="left"/>
      <w:pPr>
        <w:ind w:left="6800" w:hanging="270"/>
      </w:pPr>
      <w:rPr>
        <w:rFonts w:hint="default"/>
        <w:lang w:val="en-US" w:eastAsia="en-US" w:bidi="en-US"/>
      </w:rPr>
    </w:lvl>
    <w:lvl w:ilvl="6" w:tplc="59CA160C">
      <w:numFmt w:val="bullet"/>
      <w:lvlText w:val="•"/>
      <w:lvlJc w:val="left"/>
      <w:pPr>
        <w:ind w:left="7888" w:hanging="270"/>
      </w:pPr>
      <w:rPr>
        <w:rFonts w:hint="default"/>
        <w:lang w:val="en-US" w:eastAsia="en-US" w:bidi="en-US"/>
      </w:rPr>
    </w:lvl>
    <w:lvl w:ilvl="7" w:tplc="36EA3B74">
      <w:numFmt w:val="bullet"/>
      <w:lvlText w:val="•"/>
      <w:lvlJc w:val="left"/>
      <w:pPr>
        <w:ind w:left="8976" w:hanging="270"/>
      </w:pPr>
      <w:rPr>
        <w:rFonts w:hint="default"/>
        <w:lang w:val="en-US" w:eastAsia="en-US" w:bidi="en-US"/>
      </w:rPr>
    </w:lvl>
    <w:lvl w:ilvl="8" w:tplc="5C4072E8">
      <w:numFmt w:val="bullet"/>
      <w:lvlText w:val="•"/>
      <w:lvlJc w:val="left"/>
      <w:pPr>
        <w:ind w:left="10064" w:hanging="270"/>
      </w:pPr>
      <w:rPr>
        <w:rFonts w:hint="default"/>
        <w:lang w:val="en-US" w:eastAsia="en-US" w:bidi="en-US"/>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7E59EF"/>
    <w:rsid w:val="002177C0"/>
    <w:rsid w:val="0069245C"/>
    <w:rsid w:val="007B7991"/>
    <w:rsid w:val="007E59EF"/>
    <w:rsid w:val="008D60EE"/>
    <w:rsid w:val="009740A5"/>
    <w:rsid w:val="00BE3034"/>
    <w:rsid w:val="00C52DE8"/>
    <w:rsid w:val="00E76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198B6DC-C0C9-48F0-991F-8EF9D4D0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Ubuntu Light" w:eastAsia="Ubuntu Light" w:hAnsi="Ubuntu Light" w:cs="Ubuntu Light"/>
      <w:lang w:bidi="en-US"/>
    </w:rPr>
  </w:style>
  <w:style w:type="paragraph" w:styleId="Heading1">
    <w:name w:val="heading 1"/>
    <w:basedOn w:val="Normal"/>
    <w:uiPriority w:val="1"/>
    <w:qFormat/>
    <w:pPr>
      <w:spacing w:before="67"/>
      <w:ind w:left="1065"/>
      <w:outlineLvl w:val="0"/>
    </w:pPr>
    <w:rPr>
      <w:rFonts w:ascii="Ubuntu" w:eastAsia="Ubuntu" w:hAnsi="Ubuntu" w:cs="Ubuntu"/>
      <w:sz w:val="34"/>
      <w:szCs w:val="34"/>
    </w:rPr>
  </w:style>
  <w:style w:type="paragraph" w:styleId="Heading2">
    <w:name w:val="heading 2"/>
    <w:basedOn w:val="Normal"/>
    <w:uiPriority w:val="1"/>
    <w:qFormat/>
    <w:pPr>
      <w:spacing w:before="9"/>
      <w:ind w:left="1080"/>
      <w:outlineLvl w:val="1"/>
    </w:pPr>
    <w:rPr>
      <w:rFonts w:ascii="Ubuntu" w:eastAsia="Ubuntu" w:hAnsi="Ubuntu" w:cs="Ubuntu"/>
      <w:i/>
      <w:sz w:val="34"/>
      <w:szCs w:val="34"/>
    </w:rPr>
  </w:style>
  <w:style w:type="paragraph" w:styleId="Heading3">
    <w:name w:val="heading 3"/>
    <w:basedOn w:val="Normal"/>
    <w:uiPriority w:val="1"/>
    <w:qFormat/>
    <w:pPr>
      <w:ind w:left="1080"/>
      <w:outlineLvl w:val="2"/>
    </w:pPr>
    <w:rPr>
      <w:rFonts w:ascii="Ubuntu" w:eastAsia="Ubuntu" w:hAnsi="Ubuntu" w:cs="Ubuntu"/>
      <w:sz w:val="28"/>
      <w:szCs w:val="28"/>
    </w:rPr>
  </w:style>
  <w:style w:type="paragraph" w:styleId="Heading4">
    <w:name w:val="heading 4"/>
    <w:basedOn w:val="Normal"/>
    <w:uiPriority w:val="1"/>
    <w:qFormat/>
    <w:pPr>
      <w:spacing w:before="13"/>
      <w:outlineLvl w:val="3"/>
    </w:pPr>
    <w:rPr>
      <w:rFonts w:ascii="Ubuntu" w:eastAsia="Ubuntu" w:hAnsi="Ubuntu" w:cs="Ubuntu"/>
      <w:sz w:val="24"/>
      <w:szCs w:val="24"/>
    </w:rPr>
  </w:style>
  <w:style w:type="paragraph" w:styleId="Heading5">
    <w:name w:val="heading 5"/>
    <w:basedOn w:val="Normal"/>
    <w:uiPriority w:val="1"/>
    <w:qFormat/>
    <w:pPr>
      <w:ind w:left="1713"/>
      <w:outlineLvl w:val="4"/>
    </w:pPr>
    <w:rPr>
      <w:rFonts w:ascii="Ubuntu" w:eastAsia="Ubuntu" w:hAnsi="Ubuntu" w:cs="Ubuntu"/>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420" w:hanging="340"/>
    </w:pPr>
  </w:style>
  <w:style w:type="paragraph" w:customStyle="1" w:styleId="TableParagraph">
    <w:name w:val="Table Paragraph"/>
    <w:basedOn w:val="Normal"/>
    <w:uiPriority w:val="1"/>
    <w:qFormat/>
    <w:pPr>
      <w:spacing w:before="133"/>
    </w:pPr>
  </w:style>
  <w:style w:type="table" w:styleId="TableGrid">
    <w:name w:val="Table Grid"/>
    <w:basedOn w:val="TableNormal"/>
    <w:uiPriority w:val="39"/>
    <w:rsid w:val="00E7662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662F"/>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E7662F"/>
    <w:rPr>
      <w:color w:val="0000FF"/>
      <w:u w:val="single"/>
    </w:rPr>
  </w:style>
  <w:style w:type="paragraph" w:styleId="Header">
    <w:name w:val="header"/>
    <w:basedOn w:val="Normal"/>
    <w:link w:val="HeaderChar"/>
    <w:uiPriority w:val="99"/>
    <w:unhideWhenUsed/>
    <w:rsid w:val="00E7662F"/>
    <w:pPr>
      <w:tabs>
        <w:tab w:val="center" w:pos="4680"/>
        <w:tab w:val="right" w:pos="9360"/>
      </w:tabs>
    </w:pPr>
  </w:style>
  <w:style w:type="character" w:customStyle="1" w:styleId="HeaderChar">
    <w:name w:val="Header Char"/>
    <w:basedOn w:val="DefaultParagraphFont"/>
    <w:link w:val="Header"/>
    <w:uiPriority w:val="99"/>
    <w:rsid w:val="00E7662F"/>
    <w:rPr>
      <w:rFonts w:ascii="Ubuntu Light" w:eastAsia="Ubuntu Light" w:hAnsi="Ubuntu Light" w:cs="Ubuntu Light"/>
      <w:lang w:bidi="en-US"/>
    </w:rPr>
  </w:style>
  <w:style w:type="paragraph" w:styleId="Footer">
    <w:name w:val="footer"/>
    <w:basedOn w:val="Normal"/>
    <w:link w:val="FooterChar"/>
    <w:uiPriority w:val="99"/>
    <w:unhideWhenUsed/>
    <w:rsid w:val="00E7662F"/>
    <w:pPr>
      <w:tabs>
        <w:tab w:val="center" w:pos="4680"/>
        <w:tab w:val="right" w:pos="9360"/>
      </w:tabs>
    </w:pPr>
  </w:style>
  <w:style w:type="character" w:customStyle="1" w:styleId="FooterChar">
    <w:name w:val="Footer Char"/>
    <w:basedOn w:val="DefaultParagraphFont"/>
    <w:link w:val="Footer"/>
    <w:uiPriority w:val="99"/>
    <w:rsid w:val="00E7662F"/>
    <w:rPr>
      <w:rFonts w:ascii="Ubuntu Light" w:eastAsia="Ubuntu Light" w:hAnsi="Ubuntu Light" w:cs="Ubuntu 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profiles.nlm.nih.gov/spotlight/nn/catalog?utf8=%E2%9C%93&amp;amp;exhibit_id=nn&amp;amp;search_field=all_fields&amp;amp;q=2000%2Bmental%2Bhealth" TargetMode="External"/><Relationship Id="rId21" Type="http://schemas.openxmlformats.org/officeDocument/2006/relationships/hyperlink" Target="https://doi.org/10.1037/a0031864" TargetMode="External"/><Relationship Id="rId42" Type="http://schemas.openxmlformats.org/officeDocument/2006/relationships/hyperlink" Target="https://nwi.pdx.edu/pdf/Wraparound-implementation-and-practice-quality-standards.pdf" TargetMode="External"/><Relationship Id="rId47" Type="http://schemas.openxmlformats.org/officeDocument/2006/relationships/hyperlink" Target="https://depts.washington.edu/wrapeval/content/evaluation-training-and-coaching" TargetMode="External"/><Relationship Id="rId63" Type="http://schemas.openxmlformats.org/officeDocument/2006/relationships/hyperlink" Target="https://doi.org/10.1007/s10826-014-9908-5" TargetMode="External"/><Relationship Id="rId68" Type="http://schemas.openxmlformats.org/officeDocument/2006/relationships/hyperlink" Target="https://www.researchgate.net/publication/226241921_Children_lost_within_the_foster_care_system_Can_wraparound_service_strategies_improve_placement_outcomes/link/02e7e53c966585ccd5000000/download" TargetMode="External"/><Relationship Id="rId84" Type="http://schemas.openxmlformats.org/officeDocument/2006/relationships/hyperlink" Target="https://journals.sagepub.com/doi/pdf/10.1606/1044-3894.2015.96.18" TargetMode="External"/><Relationship Id="rId89" Type="http://schemas.openxmlformats.org/officeDocument/2006/relationships/hyperlink" Target="https://journals.sagepub.com/doi/pdf/10.1177/0011128705278632" TargetMode="External"/><Relationship Id="rId16" Type="http://schemas.openxmlformats.org/officeDocument/2006/relationships/hyperlink" Target="https://doi.org/10.1176/appi.ps.57.11.1579" TargetMode="External"/><Relationship Id="rId11" Type="http://schemas.openxmlformats.org/officeDocument/2006/relationships/hyperlink" Target="https://nwi.pdx.edu/NWI-book/pgBookAndCompleteSections.php.1" TargetMode="External"/><Relationship Id="rId32" Type="http://schemas.openxmlformats.org/officeDocument/2006/relationships/hyperlink" Target="https://www.innovations.harvard.edu/wraparound-milwaukee" TargetMode="External"/><Relationship Id="rId37" Type="http://schemas.openxmlformats.org/officeDocument/2006/relationships/hyperlink" Target="https://docs.wixstatic.com/ugd/272564_2b46097ee7e149018a0fdd33a4b54121.pdf" TargetMode="External"/><Relationship Id="rId53" Type="http://schemas.openxmlformats.org/officeDocument/2006/relationships/hyperlink" Target="https://depts.washington.edu/wrapeval/training-material-categories/document-assessment-and-review-tool-dart" TargetMode="External"/><Relationship Id="rId58" Type="http://schemas.openxmlformats.org/officeDocument/2006/relationships/hyperlink" Target="https://depts.washington.edu/wrapeval/content/becoming-wfas-collaborator" TargetMode="External"/><Relationship Id="rId74" Type="http://schemas.openxmlformats.org/officeDocument/2006/relationships/hyperlink" Target="http://childrenshealthinitiative.org/wp-content/uploads/2017/03/Pursuing-cost-effectiveness-in-mental-health-service-delivery-for-youth-with-complex-needs.pdf" TargetMode="External"/><Relationship Id="rId79" Type="http://schemas.openxmlformats.org/officeDocument/2006/relationships/hyperlink" Target="https://journals.sagepub.com/doi/pdf/10.1177/0011128705278632" TargetMode="External"/><Relationship Id="rId102" Type="http://schemas.openxmlformats.org/officeDocument/2006/relationships/image" Target="media/image12.png"/><Relationship Id="rId5" Type="http://schemas.openxmlformats.org/officeDocument/2006/relationships/footnotes" Target="footnotes.xml"/><Relationship Id="rId90" Type="http://schemas.openxmlformats.org/officeDocument/2006/relationships/hyperlink" Target="https://pdfs.semanticscholar.org/d8ae/a1c35995ad0385a33bce6f6cc14bc96bce51.pdf" TargetMode="External"/><Relationship Id="rId95" Type="http://schemas.openxmlformats.org/officeDocument/2006/relationships/image" Target="media/image5.png"/><Relationship Id="rId22" Type="http://schemas.openxmlformats.org/officeDocument/2006/relationships/hyperlink" Target="https://doi.org/10.1007/s10826-014-9908-5" TargetMode="External"/><Relationship Id="rId27" Type="http://schemas.openxmlformats.org/officeDocument/2006/relationships/hyperlink" Target="https://profiles.nlm.nih.gov/spotlight/nn/catalog?utf8=%E2%9C%93&amp;amp;exhibit_id=nn&amp;amp;search_field=all_fields&amp;amp;q=2000%2Bmental%2Bhealth" TargetMode="External"/><Relationship Id="rId43" Type="http://schemas.openxmlformats.org/officeDocument/2006/relationships/hyperlink" Target="https://nwi.pdx.edu/previous-nwi-webinars" TargetMode="External"/><Relationship Id="rId48" Type="http://schemas.openxmlformats.org/officeDocument/2006/relationships/footer" Target="footer3.xml"/><Relationship Id="rId64" Type="http://schemas.openxmlformats.org/officeDocument/2006/relationships/hyperlink" Target="https://onlinelibrary.wiley.com/doi/full/10.1007/s10464-006-9074-z" TargetMode="External"/><Relationship Id="rId69" Type="http://schemas.openxmlformats.org/officeDocument/2006/relationships/hyperlink" Target="https://insights.ovid.com/pubmed?pmid=27579908" TargetMode="External"/><Relationship Id="rId80" Type="http://schemas.openxmlformats.org/officeDocument/2006/relationships/hyperlink" Target="https://journals.sagepub.com/doi/pdf/10.1177/0011128705278632" TargetMode="External"/><Relationship Id="rId85" Type="http://schemas.openxmlformats.org/officeDocument/2006/relationships/hyperlink" Target="https://onlinelibrary.wiley.com/doi/full/10.1007/s10464-006-9074-z" TargetMode="External"/><Relationship Id="rId12" Type="http://schemas.openxmlformats.org/officeDocument/2006/relationships/hyperlink" Target="https://nwi.pdx.edu/NWI-book/pgBookAndCompleteSections.php.1" TargetMode="External"/><Relationship Id="rId17" Type="http://schemas.openxmlformats.org/officeDocument/2006/relationships/hyperlink" Target="https://doi.org/10.1016/j.evalprogplan.2009.05.013" TargetMode="External"/><Relationship Id="rId33" Type="http://schemas.openxmlformats.org/officeDocument/2006/relationships/hyperlink" Target="https://doi.org/10.1007/s10826-016-0469-7" TargetMode="External"/><Relationship Id="rId38" Type="http://schemas.openxmlformats.org/officeDocument/2006/relationships/hyperlink" Target="https://nwi.pdx.edu/pdf/PhaseActivWAProcess.pdf" TargetMode="External"/><Relationship Id="rId59" Type="http://schemas.openxmlformats.org/officeDocument/2006/relationships/hyperlink" Target="https://doi.org/10.1177/10634266040120020201" TargetMode="External"/><Relationship Id="rId103" Type="http://schemas.openxmlformats.org/officeDocument/2006/relationships/hyperlink" Target="http://nwi.pdx.edu/" TargetMode="External"/><Relationship Id="rId20" Type="http://schemas.openxmlformats.org/officeDocument/2006/relationships/hyperlink" Target="https://depts.washington.edu/wrapeval" TargetMode="External"/><Relationship Id="rId41" Type="http://schemas.openxmlformats.org/officeDocument/2006/relationships/hyperlink" Target="https://nwi.pdx.edu/pdf/SpanishWraparoundGuide09-2010.pdf" TargetMode="External"/><Relationship Id="rId54" Type="http://schemas.openxmlformats.org/officeDocument/2006/relationships/hyperlink" Target="https://depts.washington.edu/wrapeval/training-material-categories/document-assessment-and-review-tool-dart" TargetMode="External"/><Relationship Id="rId62" Type="http://schemas.openxmlformats.org/officeDocument/2006/relationships/hyperlink" Target="https://doi.org/10.1037/a0031864" TargetMode="External"/><Relationship Id="rId70" Type="http://schemas.openxmlformats.org/officeDocument/2006/relationships/hyperlink" Target="https://insights.ovid.com/pubmed?pmid=27579908" TargetMode="External"/><Relationship Id="rId75" Type="http://schemas.openxmlformats.org/officeDocument/2006/relationships/hyperlink" Target="https://onlinelibrary.wiley.com/doi/pdf/10.1111/fcre.12216" TargetMode="External"/><Relationship Id="rId83" Type="http://schemas.openxmlformats.org/officeDocument/2006/relationships/hyperlink" Target="https://journals.sagepub.com/doi/pdf/10.1606/1044-3894.2015.96.18" TargetMode="External"/><Relationship Id="rId88" Type="http://schemas.openxmlformats.org/officeDocument/2006/relationships/hyperlink" Target="https://journals.sagepub.com/doi/pdf/10.1177/1049731508329385" TargetMode="External"/><Relationship Id="rId91" Type="http://schemas.openxmlformats.org/officeDocument/2006/relationships/hyperlink" Target="https://journals.sagepub.com/doi/pdf/10.1606/1044-3894.2015.96.18" TargetMode="External"/><Relationship Id="rId9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6/appi.ps.57.11.1579" TargetMode="External"/><Relationship Id="rId23" Type="http://schemas.openxmlformats.org/officeDocument/2006/relationships/hyperlink" Target="https://doi.org/10.1007/s10826-016-0639-7" TargetMode="External"/><Relationship Id="rId28" Type="http://schemas.openxmlformats.org/officeDocument/2006/relationships/hyperlink" Target="https://profiles.nlm.nih.gov/spotlight/nn/catalog?utf8=%E2%9C%93&amp;amp;exhibit_id=nn&amp;amp;search_field=all_fields&amp;amp;q=2000%2Bmental%2Bhealth" TargetMode="External"/><Relationship Id="rId36" Type="http://schemas.openxmlformats.org/officeDocument/2006/relationships/hyperlink" Target="https://nwi.pdx.edu/pdf/TenPrincWAProcess.pdf" TargetMode="External"/><Relationship Id="rId49" Type="http://schemas.openxmlformats.org/officeDocument/2006/relationships/hyperlink" Target="https://depts.washington.edu/wrapeval/content/evaluation-training-and-coaching" TargetMode="External"/><Relationship Id="rId57" Type="http://schemas.openxmlformats.org/officeDocument/2006/relationships/hyperlink" Target="https://depts.washington.edu/wrapeval/content/becoming-wfas-collaborator" TargetMode="External"/><Relationship Id="rId106" Type="http://schemas.openxmlformats.org/officeDocument/2006/relationships/theme" Target="theme/theme1.xml"/><Relationship Id="rId10" Type="http://schemas.openxmlformats.org/officeDocument/2006/relationships/hyperlink" Target="https://nwi.pdx.edu/" TargetMode="External"/><Relationship Id="rId31" Type="http://schemas.openxmlformats.org/officeDocument/2006/relationships/hyperlink" Target="https://ps.psychiatryonline.org/doi/full/10.1176/appi.ps.54.11.1467" TargetMode="External"/><Relationship Id="rId44" Type="http://schemas.openxmlformats.org/officeDocument/2006/relationships/hyperlink" Target="https://www.nwic.org/workforce-development" TargetMode="External"/><Relationship Id="rId52" Type="http://schemas.openxmlformats.org/officeDocument/2006/relationships/hyperlink" Target="https://depts.washington.edu/wrapeval/training-material-category/team-observation-measure-tom" TargetMode="External"/><Relationship Id="rId60" Type="http://schemas.openxmlformats.org/officeDocument/2006/relationships/hyperlink" Target="https://doi.org/10.1177/10634266040120020201" TargetMode="External"/><Relationship Id="rId65" Type="http://schemas.openxmlformats.org/officeDocument/2006/relationships/hyperlink" Target="https://onlinelibrary.wiley.com/doi/full/10.1007/s10464-006-9074-z" TargetMode="External"/><Relationship Id="rId73" Type="http://schemas.openxmlformats.org/officeDocument/2006/relationships/hyperlink" Target="http://childrenshealthinitiative.org/wp-content/uploads/2017/03/Pursuing-cost-effectiveness-in-mental-health-service-delivery-for-youth-with-complex-needs.pdf" TargetMode="External"/><Relationship Id="rId78" Type="http://schemas.openxmlformats.org/officeDocument/2006/relationships/hyperlink" Target="https://journals.sagepub.com/doi/pdf/10.1177/1049731508329385" TargetMode="External"/><Relationship Id="rId81" Type="http://schemas.openxmlformats.org/officeDocument/2006/relationships/hyperlink" Target="https://pdfs.semanticscholar.org/d8ae/a1c35995ad0385a33bce6f6cc14bc96bce51.pdf" TargetMode="External"/><Relationship Id="rId86" Type="http://schemas.openxmlformats.org/officeDocument/2006/relationships/hyperlink" Target="http://citeseerx.ist.psu.edu/viewdoc/download?doi=10.1.1.916.7660&amp;rep=rep1&amp;type=pdf" TargetMode="External"/><Relationship Id="rId94" Type="http://schemas.openxmlformats.org/officeDocument/2006/relationships/image" Target="media/image4.png"/><Relationship Id="rId99" Type="http://schemas.openxmlformats.org/officeDocument/2006/relationships/image" Target="media/image9.png"/><Relationship Id="rId10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nwi.pdx.edu/wraparound-implementation-guide" TargetMode="External"/><Relationship Id="rId18" Type="http://schemas.openxmlformats.org/officeDocument/2006/relationships/hyperlink" Target="https://doi.org/10.1016/j.evalprogplan.2009.05.013" TargetMode="External"/><Relationship Id="rId39" Type="http://schemas.openxmlformats.org/officeDocument/2006/relationships/hyperlink" Target="https://nwi.pdx.edu/wraparound-implementation-guide" TargetMode="External"/><Relationship Id="rId34" Type="http://schemas.openxmlformats.org/officeDocument/2006/relationships/hyperlink" Target="https://doi.org/10.1007/s10826-016-0469-7" TargetMode="External"/><Relationship Id="rId50" Type="http://schemas.openxmlformats.org/officeDocument/2006/relationships/hyperlink" Target="https://depts.washington.edu/wrapeval/training-material-category/wraparound-fidelity-index-short-version-wfi-ez" TargetMode="External"/><Relationship Id="rId55" Type="http://schemas.openxmlformats.org/officeDocument/2006/relationships/hyperlink" Target="https://www.nwic.org/2019-academy" TargetMode="External"/><Relationship Id="rId76" Type="http://schemas.openxmlformats.org/officeDocument/2006/relationships/hyperlink" Target="https://onlinelibrary.wiley.com/doi/pdf/10.1111/fcre.12216" TargetMode="External"/><Relationship Id="rId97" Type="http://schemas.openxmlformats.org/officeDocument/2006/relationships/image" Target="media/image7.png"/><Relationship Id="rId104"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hyperlink" Target="http://childrenshealthinitiative.org/wp-content/uploads/2017/03/Pursuing-cost-effectiveness-in-mental-health-service-delivery-for-youth-with-complex-needs.pdf" TargetMode="External"/><Relationship Id="rId92" Type="http://schemas.openxmlformats.org/officeDocument/2006/relationships/image" Target="media/image2.jpeg"/><Relationship Id="rId2" Type="http://schemas.openxmlformats.org/officeDocument/2006/relationships/styles" Target="styles.xml"/><Relationship Id="rId29" Type="http://schemas.openxmlformats.org/officeDocument/2006/relationships/hyperlink" Target="https://county.milwaukee.gov/ImageLibrary/User/jmaher/backgrounndocuments/Presidents_New_Freedom_Report.pdf" TargetMode="External"/><Relationship Id="rId24" Type="http://schemas.openxmlformats.org/officeDocument/2006/relationships/hyperlink" Target="https://www.medicaid.gov/federal-policy-guidance/downloads/cib-05-07-2013.pdf" TargetMode="External"/><Relationship Id="rId40" Type="http://schemas.openxmlformats.org/officeDocument/2006/relationships/hyperlink" Target="https://nwi.pdx.edu/pdf/Wraparound_Family_Guide09-2010.pdf" TargetMode="External"/><Relationship Id="rId45" Type="http://schemas.openxmlformats.org/officeDocument/2006/relationships/hyperlink" Target="https://docs.wixstatic.com/ugd/272564_229abdf2f2b94459813d6a7e87fcd16f.pdf" TargetMode="External"/><Relationship Id="rId66" Type="http://schemas.openxmlformats.org/officeDocument/2006/relationships/hyperlink" Target="http://citeseerx.ist.psu.edu/viewdoc/download?doi=10.1.1.916.7660&amp;amp;rep=rep1&amp;amp;type=pdf" TargetMode="External"/><Relationship Id="rId87" Type="http://schemas.openxmlformats.org/officeDocument/2006/relationships/hyperlink" Target="https://insights.ovid.com/pubmed?pmid=27579908" TargetMode="External"/><Relationship Id="rId61" Type="http://schemas.openxmlformats.org/officeDocument/2006/relationships/hyperlink" Target="https://doi.org/10.1007/s11414-008-9109-3" TargetMode="External"/><Relationship Id="rId82" Type="http://schemas.openxmlformats.org/officeDocument/2006/relationships/hyperlink" Target="https://pdfs.semanticscholar.org/d8ae/a1c35995ad0385a33bce6f6cc14bc96bce51.pdf" TargetMode="External"/><Relationship Id="rId19" Type="http://schemas.openxmlformats.org/officeDocument/2006/relationships/hyperlink" Target="https://nwi.pdx.edu/pdf/PhaseActivWAProcess.pdf" TargetMode="External"/><Relationship Id="rId14" Type="http://schemas.openxmlformats.org/officeDocument/2006/relationships/hyperlink" Target="https://nwi.pdx.edu/wraparound-implementation-guide" TargetMode="External"/><Relationship Id="rId30" Type="http://schemas.openxmlformats.org/officeDocument/2006/relationships/hyperlink" Target="https://county.milwaukee.gov/ImageLibrary/User/jmaher/backgrounndocuments/Presidents_New_Freedom_Report.pdf" TargetMode="External"/><Relationship Id="rId35" Type="http://schemas.openxmlformats.org/officeDocument/2006/relationships/footer" Target="footer2.xml"/><Relationship Id="rId56" Type="http://schemas.openxmlformats.org/officeDocument/2006/relationships/hyperlink" Target="https://www.nwic.org/previous-academies" TargetMode="External"/><Relationship Id="rId77" Type="http://schemas.openxmlformats.org/officeDocument/2006/relationships/hyperlink" Target="https://journals.sagepub.com/doi/pdf/10.1177/1049731508329385" TargetMode="External"/><Relationship Id="rId100" Type="http://schemas.openxmlformats.org/officeDocument/2006/relationships/image" Target="media/image10.png"/><Relationship Id="rId105" Type="http://schemas.openxmlformats.org/officeDocument/2006/relationships/fontTable" Target="fontTable.xml"/><Relationship Id="rId8" Type="http://schemas.openxmlformats.org/officeDocument/2006/relationships/hyperlink" Target="mailto:PreventionServices@abtassoc.com" TargetMode="External"/><Relationship Id="rId51" Type="http://schemas.openxmlformats.org/officeDocument/2006/relationships/hyperlink" Target="https://depts.washington.edu/wrapeval/training-material-category/wraparound-fidelity-index-short-version-wfi-ez" TargetMode="External"/><Relationship Id="rId72" Type="http://schemas.openxmlformats.org/officeDocument/2006/relationships/hyperlink" Target="http://childrenshealthinitiative.org/wp-content/uploads/2017/03/Pursuing-cost-effectiveness-in-mental-health-service-delivery-for-youth-with-complex-needs.pdf" TargetMode="External"/><Relationship Id="rId93" Type="http://schemas.openxmlformats.org/officeDocument/2006/relationships/image" Target="media/image3.png"/><Relationship Id="rId98" Type="http://schemas.openxmlformats.org/officeDocument/2006/relationships/image" Target="media/image8.png"/><Relationship Id="rId3" Type="http://schemas.openxmlformats.org/officeDocument/2006/relationships/settings" Target="settings.xml"/><Relationship Id="rId25" Type="http://schemas.openxmlformats.org/officeDocument/2006/relationships/hyperlink" Target="https://www.medicaid.gov/federal-policy-guidance/downloads/cib-05-07-2013.pdf" TargetMode="External"/><Relationship Id="rId46" Type="http://schemas.openxmlformats.org/officeDocument/2006/relationships/hyperlink" Target="https://docs.wixstatic.com/ugd/272564_90565cd33c2c4cabbaa970d389f5617e.pdf" TargetMode="External"/><Relationship Id="rId67" Type="http://schemas.openxmlformats.org/officeDocument/2006/relationships/hyperlink" Target="http://citeseerx.ist.psu.edu/viewdoc/download?doi=10.1.1.916.7660&amp;amp;rep=rep1&amp;amp;typ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5718</Words>
  <Characters>32596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Nominating Wraparound for the FFPSA Prevention Services Clearinghouse</vt:lpstr>
    </vt:vector>
  </TitlesOfParts>
  <Company>Portland State University</Company>
  <LinksUpToDate>false</LinksUpToDate>
  <CharactersWithSpaces>38238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Wraparound for the FFPSA Prevention Services Clearinghouse</dc:title>
  <dc:subject>The National Wraparound Initiative, in collaboration with the National Wraparound Implementation Center and the Wraparound Evaluation and Research Team, has developed this document and supporting materials to assist states, other entities, and individuals who are interested in nominating “Intensive Care Coordination Using High-Fidelity Wraparound” for inclusion in Title IV-E Prevention Services Clearinghouse.</dc:subject>
  <dc:creator>National Wraparound Initiative</dc:creator>
  <cp:lastModifiedBy>Nicole Aue</cp:lastModifiedBy>
  <cp:revision>2</cp:revision>
  <dcterms:created xsi:type="dcterms:W3CDTF">2019-10-17T00:59:00Z</dcterms:created>
  <dcterms:modified xsi:type="dcterms:W3CDTF">2019-10-17T00:59:00Z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2019-10-16T00:00:00Z</vt:filetime>
  </property>
  <property fmtid="{D5CDD505-2E9C-101B-9397-08002B2CF9AE}" pid="3" name="Creator">
    <vt:lpwstr>Adobe InDesign 14.0 (Windows)</vt:lpwstr>
  </property>
  <property fmtid="{D5CDD505-2E9C-101B-9397-08002B2CF9AE}" pid="4" name="LastSaved">
    <vt:filetime>2019-10-16T00:00:00Z</vt:filetime>
  </property>
</Properties>
</file>